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E63" w14:textId="77777777" w:rsidR="003408C0" w:rsidRPr="00165A0E" w:rsidRDefault="00000000">
      <w:pPr>
        <w:pStyle w:val="NoSpacing"/>
        <w:jc w:val="both"/>
        <w:rPr>
          <w:rFonts w:asciiTheme="minorHAnsi" w:hAnsiTheme="minorHAnsi" w:cstheme="minorHAnsi"/>
          <w:b/>
          <w:bCs/>
        </w:rPr>
      </w:pPr>
      <w:r w:rsidRPr="00165A0E">
        <w:rPr>
          <w:rFonts w:asciiTheme="minorHAnsi" w:hAnsiTheme="minorHAnsi" w:cstheme="minorHAnsi"/>
          <w:b/>
          <w:bCs/>
        </w:rPr>
        <w:t>Catre,</w:t>
      </w:r>
    </w:p>
    <w:p w14:paraId="36EF49C5" w14:textId="77777777" w:rsidR="003408C0" w:rsidRPr="00165A0E" w:rsidRDefault="00000000">
      <w:pPr>
        <w:shd w:val="clear" w:color="auto" w:fill="FFFFFF"/>
        <w:spacing w:after="160"/>
        <w:jc w:val="both"/>
        <w:rPr>
          <w:rFonts w:cstheme="minorHAnsi"/>
          <w:b/>
          <w:color w:val="333333"/>
          <w:lang w:val="es-ES"/>
        </w:rPr>
      </w:pPr>
      <w:r w:rsidRPr="00165A0E">
        <w:rPr>
          <w:rFonts w:cstheme="minorHAnsi"/>
          <w:b/>
          <w:color w:val="333333"/>
          <w:lang w:val="es-ES"/>
        </w:rPr>
        <w:t>Bursa de Valori Bucuresti</w:t>
      </w:r>
    </w:p>
    <w:p w14:paraId="14EDE36F" w14:textId="77777777" w:rsidR="003408C0" w:rsidRPr="00165A0E" w:rsidRDefault="00000000">
      <w:pPr>
        <w:shd w:val="clear" w:color="auto" w:fill="FFFFFF"/>
        <w:spacing w:after="160"/>
        <w:jc w:val="both"/>
        <w:rPr>
          <w:rFonts w:cstheme="minorHAnsi"/>
          <w:b/>
          <w:color w:val="333333"/>
          <w:lang w:val="es-ES"/>
        </w:rPr>
      </w:pPr>
      <w:r w:rsidRPr="00165A0E">
        <w:rPr>
          <w:rFonts w:cstheme="minorHAnsi"/>
          <w:b/>
          <w:color w:val="333333"/>
          <w:lang w:val="es-ES"/>
        </w:rPr>
        <w:t>Autoritatea de Supraveghere Financiara</w:t>
      </w:r>
    </w:p>
    <w:p w14:paraId="053ADD23" w14:textId="1EF36703" w:rsidR="003408C0" w:rsidRPr="00165A0E" w:rsidRDefault="00000000">
      <w:pPr>
        <w:jc w:val="both"/>
        <w:rPr>
          <w:rFonts w:cstheme="minorHAnsi"/>
          <w:b/>
          <w:bCs/>
          <w:lang w:val="es-ES"/>
        </w:rPr>
      </w:pPr>
      <w:r w:rsidRPr="00165A0E">
        <w:rPr>
          <w:rFonts w:cstheme="minorHAnsi"/>
          <w:b/>
          <w:bCs/>
          <w:lang w:val="es-ES"/>
        </w:rPr>
        <w:t xml:space="preserve">Ref:  </w:t>
      </w:r>
      <w:r w:rsidR="009F4BA3">
        <w:rPr>
          <w:rFonts w:cstheme="minorHAnsi"/>
          <w:b/>
          <w:bCs/>
          <w:lang w:val="es-ES"/>
        </w:rPr>
        <w:t>Raport anual 2022 auditat si aprobat</w:t>
      </w:r>
    </w:p>
    <w:p w14:paraId="3E4249F4" w14:textId="77777777" w:rsidR="003408C0" w:rsidRPr="00165A0E" w:rsidRDefault="003408C0">
      <w:pPr>
        <w:jc w:val="both"/>
        <w:rPr>
          <w:rFonts w:cstheme="minorHAnsi"/>
        </w:rPr>
      </w:pPr>
    </w:p>
    <w:p w14:paraId="101BDF00" w14:textId="2CAC5C4A" w:rsidR="003408C0" w:rsidRPr="00165A0E" w:rsidRDefault="00000000">
      <w:pPr>
        <w:shd w:val="clear" w:color="auto" w:fill="FFFFFF"/>
        <w:jc w:val="center"/>
        <w:rPr>
          <w:rFonts w:cstheme="minorHAnsi"/>
          <w:b/>
          <w:color w:val="333333"/>
        </w:rPr>
      </w:pPr>
      <w:r w:rsidRPr="00165A0E">
        <w:rPr>
          <w:rFonts w:cstheme="minorHAnsi"/>
          <w:b/>
          <w:color w:val="333333"/>
        </w:rPr>
        <w:t xml:space="preserve">Comunicat privind Raport annual </w:t>
      </w:r>
      <w:r w:rsidR="003B48B5" w:rsidRPr="00165A0E">
        <w:rPr>
          <w:rFonts w:cstheme="minorHAnsi"/>
          <w:b/>
          <w:color w:val="333333"/>
        </w:rPr>
        <w:t>2022</w:t>
      </w:r>
    </w:p>
    <w:p w14:paraId="1846AFCF" w14:textId="77777777" w:rsidR="003408C0" w:rsidRPr="00165A0E" w:rsidRDefault="00000000">
      <w:pPr>
        <w:shd w:val="clear" w:color="auto" w:fill="FFFFFF"/>
        <w:jc w:val="center"/>
        <w:rPr>
          <w:rFonts w:cstheme="minorHAnsi"/>
          <w:b/>
          <w:color w:val="333333"/>
        </w:rPr>
      </w:pPr>
      <w:r w:rsidRPr="00165A0E">
        <w:rPr>
          <w:rFonts w:cstheme="minorHAnsi"/>
          <w:lang w:val="es-ES"/>
        </w:rPr>
        <w:t xml:space="preserve">intocmit în conformitate cu Legea nr. 24/2017 privind emitenții de instrumente financiare și operațiuni de piața, Regulamentul ASF nr. 5/2018 privind emitenții de instrumente financiare </w:t>
      </w:r>
      <w:r w:rsidRPr="00165A0E">
        <w:rPr>
          <w:rFonts w:cstheme="minorHAnsi"/>
          <w:lang w:val="ro-RO"/>
        </w:rPr>
        <w:t>ș</w:t>
      </w:r>
      <w:r w:rsidRPr="00165A0E">
        <w:rPr>
          <w:rFonts w:cstheme="minorHAnsi"/>
          <w:lang w:val="es-ES"/>
        </w:rPr>
        <w:t>i operațiuni de piață și/sau Codul Bursei de Valori București pentru Sistemul Multilateral de Tranzacționare</w:t>
      </w:r>
    </w:p>
    <w:p w14:paraId="6AD36380" w14:textId="77777777" w:rsidR="003408C0" w:rsidRPr="00165A0E" w:rsidRDefault="003408C0">
      <w:pPr>
        <w:shd w:val="clear" w:color="auto" w:fill="FFFFFF"/>
        <w:spacing w:after="160"/>
        <w:jc w:val="both"/>
        <w:rPr>
          <w:rFonts w:cstheme="minorHAnsi"/>
          <w:b/>
          <w:color w:val="333333"/>
        </w:rPr>
      </w:pPr>
    </w:p>
    <w:tbl>
      <w:tblPr>
        <w:tblW w:w="91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655"/>
      </w:tblGrid>
      <w:tr w:rsidR="003408C0" w:rsidRPr="00165A0E" w14:paraId="13CF7E76" w14:textId="77777777">
        <w:trPr>
          <w:trHeight w:val="369"/>
        </w:trPr>
        <w:tc>
          <w:tcPr>
            <w:tcW w:w="4503" w:type="dxa"/>
            <w:vAlign w:val="center"/>
          </w:tcPr>
          <w:p w14:paraId="4A9D1465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bookmarkStart w:id="0" w:name="_gjdgxs" w:colFirst="0" w:colLast="0"/>
            <w:bookmarkEnd w:id="0"/>
            <w:r w:rsidRPr="00165A0E">
              <w:rPr>
                <w:rFonts w:cstheme="minorHAnsi"/>
                <w:color w:val="333333"/>
              </w:rPr>
              <w:t>Data raportului:  </w:t>
            </w:r>
          </w:p>
        </w:tc>
        <w:tc>
          <w:tcPr>
            <w:tcW w:w="4655" w:type="dxa"/>
            <w:vAlign w:val="center"/>
          </w:tcPr>
          <w:p w14:paraId="072439F1" w14:textId="5073777C" w:rsidR="003408C0" w:rsidRPr="00165A0E" w:rsidRDefault="003B48B5">
            <w:pPr>
              <w:shd w:val="clear" w:color="auto" w:fill="FFFFFF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02.05.2023</w:t>
            </w:r>
          </w:p>
        </w:tc>
      </w:tr>
      <w:tr w:rsidR="003408C0" w:rsidRPr="00165A0E" w14:paraId="5899AD42" w14:textId="77777777">
        <w:trPr>
          <w:trHeight w:val="369"/>
        </w:trPr>
        <w:tc>
          <w:tcPr>
            <w:tcW w:w="4503" w:type="dxa"/>
            <w:vAlign w:val="center"/>
          </w:tcPr>
          <w:p w14:paraId="1A333948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Denumirea entitatii emitente:  </w:t>
            </w:r>
          </w:p>
        </w:tc>
        <w:tc>
          <w:tcPr>
            <w:tcW w:w="4655" w:type="dxa"/>
            <w:vAlign w:val="center"/>
          </w:tcPr>
          <w:p w14:paraId="3A292C6A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b/>
                <w:color w:val="333333"/>
              </w:rPr>
              <w:t>CONNECTIONS CONSULT S.A</w:t>
            </w:r>
            <w:r w:rsidRPr="00165A0E">
              <w:rPr>
                <w:rFonts w:cstheme="minorHAnsi"/>
                <w:color w:val="333333"/>
              </w:rPr>
              <w:t>.</w:t>
            </w:r>
          </w:p>
        </w:tc>
      </w:tr>
      <w:tr w:rsidR="003408C0" w:rsidRPr="00165A0E" w14:paraId="5E6FFF54" w14:textId="77777777">
        <w:trPr>
          <w:trHeight w:val="322"/>
        </w:trPr>
        <w:tc>
          <w:tcPr>
            <w:tcW w:w="4503" w:type="dxa"/>
            <w:vAlign w:val="center"/>
          </w:tcPr>
          <w:p w14:paraId="1A989326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Sediul social:   </w:t>
            </w:r>
          </w:p>
        </w:tc>
        <w:tc>
          <w:tcPr>
            <w:tcW w:w="4655" w:type="dxa"/>
            <w:vAlign w:val="center"/>
          </w:tcPr>
          <w:p w14:paraId="6A51C7EF" w14:textId="77777777" w:rsidR="003408C0" w:rsidRPr="00165A0E" w:rsidRDefault="00000000">
            <w:pPr>
              <w:shd w:val="clear" w:color="auto" w:fill="FFFFFF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  <w:lang w:val="es-ES"/>
              </w:rPr>
              <w:t xml:space="preserve">Strada Buzesti Nr. 75-77, Etaj 14, sector 1, Mun. </w:t>
            </w:r>
            <w:r w:rsidRPr="00165A0E">
              <w:rPr>
                <w:rFonts w:cstheme="minorHAnsi"/>
                <w:color w:val="333333"/>
              </w:rPr>
              <w:t>Bucuresti</w:t>
            </w:r>
          </w:p>
        </w:tc>
      </w:tr>
      <w:tr w:rsidR="003408C0" w:rsidRPr="00165A0E" w14:paraId="42DC4214" w14:textId="77777777">
        <w:trPr>
          <w:trHeight w:val="369"/>
        </w:trPr>
        <w:tc>
          <w:tcPr>
            <w:tcW w:w="4503" w:type="dxa"/>
            <w:vAlign w:val="center"/>
          </w:tcPr>
          <w:p w14:paraId="09A31BC0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Numarul de telefon/ fax:  </w:t>
            </w:r>
          </w:p>
        </w:tc>
        <w:tc>
          <w:tcPr>
            <w:tcW w:w="4655" w:type="dxa"/>
            <w:vAlign w:val="center"/>
          </w:tcPr>
          <w:p w14:paraId="516C4D3F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0372 368 332/ 0372 006 765</w:t>
            </w:r>
          </w:p>
        </w:tc>
      </w:tr>
      <w:tr w:rsidR="003408C0" w:rsidRPr="00165A0E" w14:paraId="7B22F9C5" w14:textId="77777777">
        <w:trPr>
          <w:trHeight w:val="379"/>
        </w:trPr>
        <w:tc>
          <w:tcPr>
            <w:tcW w:w="4503" w:type="dxa"/>
            <w:vAlign w:val="center"/>
          </w:tcPr>
          <w:p w14:paraId="16DFCB17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Codul unic de inregistrare:</w:t>
            </w:r>
          </w:p>
        </w:tc>
        <w:tc>
          <w:tcPr>
            <w:tcW w:w="4655" w:type="dxa"/>
            <w:vAlign w:val="center"/>
          </w:tcPr>
          <w:p w14:paraId="227EF252" w14:textId="77777777" w:rsidR="003408C0" w:rsidRPr="00165A0E" w:rsidRDefault="00000000">
            <w:pPr>
              <w:shd w:val="clear" w:color="auto" w:fill="FFFFFF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RO 17753763</w:t>
            </w:r>
          </w:p>
        </w:tc>
      </w:tr>
      <w:tr w:rsidR="003408C0" w:rsidRPr="00165A0E" w14:paraId="7E3921E1" w14:textId="77777777">
        <w:trPr>
          <w:trHeight w:val="357"/>
        </w:trPr>
        <w:tc>
          <w:tcPr>
            <w:tcW w:w="4503" w:type="dxa"/>
            <w:vAlign w:val="center"/>
          </w:tcPr>
          <w:p w14:paraId="07D4ED6F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Numar de ordine in Registrul Comertului:</w:t>
            </w:r>
          </w:p>
        </w:tc>
        <w:tc>
          <w:tcPr>
            <w:tcW w:w="4655" w:type="dxa"/>
            <w:vAlign w:val="center"/>
          </w:tcPr>
          <w:p w14:paraId="0EA58056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J40/11864/2005</w:t>
            </w:r>
          </w:p>
        </w:tc>
      </w:tr>
      <w:tr w:rsidR="003408C0" w:rsidRPr="00165A0E" w14:paraId="2C1FFB5A" w14:textId="77777777">
        <w:trPr>
          <w:trHeight w:val="369"/>
        </w:trPr>
        <w:tc>
          <w:tcPr>
            <w:tcW w:w="4503" w:type="dxa"/>
            <w:vAlign w:val="center"/>
          </w:tcPr>
          <w:p w14:paraId="70D5AF3E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  <w:lang w:val="es-ES"/>
              </w:rPr>
            </w:pPr>
            <w:r w:rsidRPr="00165A0E">
              <w:rPr>
                <w:rFonts w:cstheme="minorHAnsi"/>
                <w:color w:val="333333"/>
                <w:lang w:val="es-ES"/>
              </w:rPr>
              <w:t>Capital social subscris si varsat:</w:t>
            </w:r>
          </w:p>
        </w:tc>
        <w:tc>
          <w:tcPr>
            <w:tcW w:w="4655" w:type="dxa"/>
            <w:vAlign w:val="center"/>
          </w:tcPr>
          <w:p w14:paraId="50B0DD20" w14:textId="78B4A805" w:rsidR="003408C0" w:rsidRPr="00165A0E" w:rsidRDefault="003B48B5">
            <w:pPr>
              <w:spacing w:after="160"/>
              <w:jc w:val="both"/>
              <w:rPr>
                <w:rFonts w:cstheme="minorHAnsi"/>
                <w:color w:val="333333"/>
              </w:rPr>
            </w:pPr>
            <w:r w:rsidRPr="00165A0E">
              <w:rPr>
                <w:rFonts w:cstheme="minorHAnsi"/>
                <w:color w:val="333333"/>
              </w:rPr>
              <w:t>1.189.272,70 lei</w:t>
            </w:r>
          </w:p>
        </w:tc>
      </w:tr>
      <w:tr w:rsidR="003408C0" w:rsidRPr="00165A0E" w14:paraId="7C74BECC" w14:textId="77777777">
        <w:trPr>
          <w:trHeight w:val="604"/>
        </w:trPr>
        <w:tc>
          <w:tcPr>
            <w:tcW w:w="4503" w:type="dxa"/>
            <w:vAlign w:val="center"/>
          </w:tcPr>
          <w:p w14:paraId="61FA86A8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  <w:lang w:val="es-ES"/>
              </w:rPr>
            </w:pPr>
            <w:r w:rsidRPr="00165A0E">
              <w:rPr>
                <w:rFonts w:cstheme="minorHAnsi"/>
                <w:color w:val="333333"/>
                <w:lang w:val="es-ES"/>
              </w:rPr>
              <w:t>Piata pe care se tranzactioneaza valorile mobiliare emise:</w:t>
            </w:r>
          </w:p>
        </w:tc>
        <w:tc>
          <w:tcPr>
            <w:tcW w:w="4655" w:type="dxa"/>
            <w:vAlign w:val="center"/>
          </w:tcPr>
          <w:p w14:paraId="630CC880" w14:textId="77777777" w:rsidR="003408C0" w:rsidRPr="00165A0E" w:rsidRDefault="00000000">
            <w:pPr>
              <w:spacing w:after="160"/>
              <w:jc w:val="both"/>
              <w:rPr>
                <w:rFonts w:cstheme="minorHAnsi"/>
                <w:color w:val="333333"/>
                <w:lang w:val="es-ES"/>
              </w:rPr>
            </w:pPr>
            <w:r w:rsidRPr="00165A0E">
              <w:rPr>
                <w:rFonts w:cstheme="minorHAnsi"/>
                <w:color w:val="333333"/>
                <w:lang w:val="es-ES"/>
              </w:rPr>
              <w:t xml:space="preserve">SMT - categoria AeRO, simbol de piata </w:t>
            </w:r>
            <w:r w:rsidRPr="00165A0E">
              <w:rPr>
                <w:rFonts w:cstheme="minorHAnsi"/>
                <w:b/>
                <w:color w:val="333333"/>
                <w:lang w:val="es-ES"/>
              </w:rPr>
              <w:t>CC</w:t>
            </w:r>
          </w:p>
        </w:tc>
      </w:tr>
    </w:tbl>
    <w:p w14:paraId="25C89252" w14:textId="77777777" w:rsidR="003408C0" w:rsidRPr="00165A0E" w:rsidRDefault="003408C0">
      <w:pPr>
        <w:jc w:val="both"/>
        <w:rPr>
          <w:rFonts w:cstheme="minorHAnsi"/>
          <w:lang w:val="es-ES"/>
        </w:rPr>
      </w:pPr>
    </w:p>
    <w:p w14:paraId="1AA21128" w14:textId="77777777" w:rsidR="003408C0" w:rsidRPr="00165A0E" w:rsidRDefault="00000000">
      <w:pPr>
        <w:jc w:val="both"/>
        <w:rPr>
          <w:rFonts w:cstheme="minorHAnsi"/>
          <w:b/>
          <w:bCs/>
          <w:lang w:val="es-ES"/>
        </w:rPr>
      </w:pPr>
      <w:r w:rsidRPr="00165A0E">
        <w:rPr>
          <w:rFonts w:cstheme="minorHAnsi"/>
          <w:b/>
          <w:bCs/>
          <w:lang w:val="es-ES"/>
        </w:rPr>
        <w:t xml:space="preserve">Evenimente importante de raportat: </w:t>
      </w:r>
    </w:p>
    <w:p w14:paraId="5678FC4E" w14:textId="77777777" w:rsidR="003408C0" w:rsidRPr="00165A0E" w:rsidRDefault="003408C0">
      <w:pPr>
        <w:jc w:val="both"/>
        <w:rPr>
          <w:rFonts w:cstheme="minorHAnsi"/>
          <w:b/>
          <w:bCs/>
          <w:lang w:val="es-ES"/>
        </w:rPr>
      </w:pPr>
    </w:p>
    <w:p w14:paraId="7A740ED4" w14:textId="77777777" w:rsidR="003408C0" w:rsidRPr="00165A0E" w:rsidRDefault="003408C0">
      <w:pPr>
        <w:jc w:val="both"/>
        <w:rPr>
          <w:rFonts w:cstheme="minorHAnsi"/>
          <w:lang w:val="es-ES"/>
        </w:rPr>
      </w:pPr>
    </w:p>
    <w:p w14:paraId="5169DAB1" w14:textId="4BD4EFEF" w:rsidR="003408C0" w:rsidRPr="00165A0E" w:rsidRDefault="00000000">
      <w:pPr>
        <w:jc w:val="both"/>
        <w:rPr>
          <w:rFonts w:cstheme="minorHAnsi"/>
          <w:lang w:val="es-ES"/>
        </w:rPr>
      </w:pPr>
      <w:r w:rsidRPr="00165A0E">
        <w:rPr>
          <w:rFonts w:cstheme="minorHAnsi"/>
          <w:lang w:val="es-ES"/>
        </w:rPr>
        <w:t>Societatea Connections Consult SA , informeaza investitorii si actionarii societatii ca incepand cu data de 02.05.202</w:t>
      </w:r>
      <w:r w:rsidR="00165A0E" w:rsidRPr="00165A0E">
        <w:rPr>
          <w:rFonts w:cstheme="minorHAnsi"/>
          <w:lang w:val="es-ES"/>
        </w:rPr>
        <w:t>3</w:t>
      </w:r>
      <w:r w:rsidRPr="00165A0E">
        <w:rPr>
          <w:rFonts w:cstheme="minorHAnsi"/>
          <w:lang w:val="es-ES"/>
        </w:rPr>
        <w:t xml:space="preserve">, pe website-ul societatii </w:t>
      </w:r>
      <w:hyperlink r:id="rId8" w:history="1">
        <w:r w:rsidRPr="00165A0E">
          <w:rPr>
            <w:rStyle w:val="Hyperlink"/>
            <w:rFonts w:cstheme="minorHAnsi"/>
            <w:lang w:val="es-ES"/>
          </w:rPr>
          <w:t>www.connectionsconsult.ro</w:t>
        </w:r>
      </w:hyperlink>
      <w:r w:rsidRPr="00165A0E">
        <w:rPr>
          <w:rFonts w:cstheme="minorHAnsi"/>
          <w:lang w:val="es-ES"/>
        </w:rPr>
        <w:t xml:space="preserve"> precum si pe site BVB simbol CC, este disponibil Raportul anual privind situatiile financiare aferente exercitiului financiar incheiat la 31.12.202</w:t>
      </w:r>
      <w:r w:rsidR="00165A0E" w:rsidRPr="00165A0E">
        <w:rPr>
          <w:rFonts w:cstheme="minorHAnsi"/>
          <w:lang w:val="es-ES"/>
        </w:rPr>
        <w:t>2</w:t>
      </w:r>
      <w:r w:rsidRPr="00165A0E">
        <w:rPr>
          <w:rFonts w:cstheme="minorHAnsi"/>
          <w:lang w:val="es-ES"/>
        </w:rPr>
        <w:t xml:space="preserve">, care au fost aprobate de catre A.G.O.A. din data de </w:t>
      </w:r>
      <w:r w:rsidR="009F4BA3">
        <w:rPr>
          <w:rFonts w:cstheme="minorHAnsi"/>
          <w:lang w:val="es-ES"/>
        </w:rPr>
        <w:t>26.</w:t>
      </w:r>
      <w:r w:rsidRPr="00165A0E">
        <w:rPr>
          <w:rFonts w:cstheme="minorHAnsi"/>
          <w:lang w:val="es-ES"/>
        </w:rPr>
        <w:t>04.2022.</w:t>
      </w:r>
    </w:p>
    <w:p w14:paraId="64F7A5EB" w14:textId="77777777" w:rsidR="003408C0" w:rsidRPr="00165A0E" w:rsidRDefault="003408C0">
      <w:pPr>
        <w:jc w:val="both"/>
        <w:rPr>
          <w:rFonts w:cstheme="minorHAnsi"/>
          <w:lang w:val="es-ES"/>
        </w:rPr>
      </w:pPr>
    </w:p>
    <w:p w14:paraId="0BA51E9D" w14:textId="581B607C" w:rsidR="003408C0" w:rsidRPr="00165A0E" w:rsidRDefault="00000000">
      <w:pPr>
        <w:jc w:val="both"/>
        <w:rPr>
          <w:rFonts w:cstheme="minorHAnsi"/>
          <w:lang w:val="es-ES"/>
        </w:rPr>
      </w:pPr>
      <w:r w:rsidRPr="00165A0E">
        <w:rPr>
          <w:rFonts w:cstheme="minorHAnsi"/>
          <w:lang w:val="es-ES"/>
        </w:rPr>
        <w:t>Documentele sunt disponibile tuturor celor interesati incepand cu data prezentului comunicat, respectiv 02.05.202</w:t>
      </w:r>
      <w:r w:rsidR="00165A0E" w:rsidRPr="00165A0E">
        <w:rPr>
          <w:rFonts w:cstheme="minorHAnsi"/>
          <w:lang w:val="es-ES"/>
        </w:rPr>
        <w:t>3</w:t>
      </w:r>
      <w:r w:rsidRPr="00165A0E">
        <w:rPr>
          <w:rFonts w:cstheme="minorHAnsi"/>
          <w:lang w:val="es-ES"/>
        </w:rPr>
        <w:t>.</w:t>
      </w:r>
    </w:p>
    <w:p w14:paraId="58941246" w14:textId="77777777" w:rsidR="003408C0" w:rsidRPr="00165A0E" w:rsidRDefault="003408C0">
      <w:pPr>
        <w:jc w:val="both"/>
        <w:rPr>
          <w:rFonts w:cstheme="minorHAnsi"/>
          <w:lang w:val="es-ES"/>
        </w:rPr>
      </w:pPr>
    </w:p>
    <w:p w14:paraId="438DEBD5" w14:textId="25EFADBF" w:rsidR="003408C0" w:rsidRPr="00165A0E" w:rsidRDefault="00000000">
      <w:pPr>
        <w:jc w:val="both"/>
        <w:rPr>
          <w:rFonts w:cstheme="minorHAnsi"/>
          <w:lang w:val="es-ES"/>
        </w:rPr>
      </w:pPr>
      <w:r w:rsidRPr="00165A0E">
        <w:rPr>
          <w:rFonts w:cstheme="minorHAnsi"/>
          <w:lang w:val="es-ES"/>
        </w:rPr>
        <w:t>Raportul anual 202</w:t>
      </w:r>
      <w:r w:rsidR="00165A0E" w:rsidRPr="00165A0E">
        <w:rPr>
          <w:rFonts w:cstheme="minorHAnsi"/>
          <w:lang w:val="es-ES"/>
        </w:rPr>
        <w:t>2</w:t>
      </w:r>
      <w:r w:rsidRPr="00165A0E">
        <w:rPr>
          <w:rFonts w:cstheme="minorHAnsi"/>
          <w:lang w:val="es-ES"/>
        </w:rPr>
        <w:t xml:space="preserve"> poate fi accesat in link-ul de mai jos</w:t>
      </w:r>
    </w:p>
    <w:p w14:paraId="369D3381" w14:textId="77777777" w:rsidR="003408C0" w:rsidRPr="00165A0E" w:rsidRDefault="003408C0">
      <w:pPr>
        <w:jc w:val="both"/>
        <w:rPr>
          <w:rFonts w:cstheme="minorHAnsi"/>
          <w:lang w:val="es-ES"/>
        </w:rPr>
      </w:pPr>
    </w:p>
    <w:p w14:paraId="58210E28" w14:textId="77777777" w:rsidR="00165A0E" w:rsidRPr="00165A0E" w:rsidRDefault="00165A0E" w:rsidP="00165A0E">
      <w:pPr>
        <w:rPr>
          <w:lang w:val="en-US"/>
        </w:rPr>
      </w:pPr>
      <w:r w:rsidRPr="00165A0E">
        <w:t xml:space="preserve">RO </w:t>
      </w:r>
      <w:hyperlink r:id="rId9" w:history="1">
        <w:r w:rsidRPr="00165A0E">
          <w:rPr>
            <w:rStyle w:val="Hyperlink"/>
          </w:rPr>
          <w:t>https://connectionsconsult.ro/wp-content/uploads/2023/03/Connections_Raport-Anual-31-dec-2022_RO-3.pdf</w:t>
        </w:r>
      </w:hyperlink>
      <w:r w:rsidRPr="00165A0E">
        <w:t xml:space="preserve"> </w:t>
      </w:r>
    </w:p>
    <w:p w14:paraId="072908D3" w14:textId="77777777" w:rsidR="00165A0E" w:rsidRPr="00165A0E" w:rsidRDefault="00165A0E" w:rsidP="00165A0E">
      <w:r w:rsidRPr="00165A0E">
        <w:t xml:space="preserve">EN </w:t>
      </w:r>
      <w:hyperlink r:id="rId10" w:history="1">
        <w:r w:rsidRPr="00165A0E">
          <w:rPr>
            <w:rStyle w:val="Hyperlink"/>
          </w:rPr>
          <w:t>https://connectionsconsult.ro/wp-content/uploads/2023/03/Connections_Raport-Anual-31-dec-2022_final_EN.pdf</w:t>
        </w:r>
      </w:hyperlink>
      <w:r w:rsidRPr="00165A0E">
        <w:t xml:space="preserve"> </w:t>
      </w:r>
    </w:p>
    <w:p w14:paraId="47CDAFA2" w14:textId="77777777" w:rsidR="003408C0" w:rsidRPr="00165A0E" w:rsidRDefault="003408C0">
      <w:pPr>
        <w:jc w:val="both"/>
        <w:rPr>
          <w:rFonts w:cstheme="minorHAnsi"/>
          <w:lang w:val="es-ES"/>
        </w:rPr>
      </w:pPr>
    </w:p>
    <w:p w14:paraId="38D7B68A" w14:textId="3DF07ACA" w:rsidR="003408C0" w:rsidRPr="00165A0E" w:rsidRDefault="00165A0E" w:rsidP="00165A0E">
      <w:pPr>
        <w:jc w:val="center"/>
        <w:rPr>
          <w:rFonts w:cstheme="minorHAnsi"/>
          <w:lang w:val="es-ES"/>
        </w:rPr>
      </w:pPr>
      <w:r w:rsidRPr="00165A0E">
        <w:rPr>
          <w:rFonts w:cstheme="minorHAnsi"/>
          <w:lang w:val="es-ES"/>
        </w:rPr>
        <w:t>Presedinte Consiliu Administratie</w:t>
      </w:r>
      <w:r w:rsidR="00000000" w:rsidRPr="00165A0E">
        <w:rPr>
          <w:rFonts w:cstheme="minorHAnsi"/>
          <w:lang w:val="es-ES"/>
        </w:rPr>
        <w:t>,</w:t>
      </w:r>
    </w:p>
    <w:p w14:paraId="46829A0F" w14:textId="77777777" w:rsidR="003408C0" w:rsidRPr="00165A0E" w:rsidRDefault="003408C0" w:rsidP="00165A0E">
      <w:pPr>
        <w:jc w:val="center"/>
        <w:rPr>
          <w:rFonts w:cstheme="minorHAnsi"/>
          <w:lang w:val="es-ES"/>
        </w:rPr>
      </w:pPr>
    </w:p>
    <w:p w14:paraId="1B5D07B2" w14:textId="5980B3C6" w:rsidR="003408C0" w:rsidRPr="00165A0E" w:rsidRDefault="00000000" w:rsidP="00165A0E">
      <w:pPr>
        <w:jc w:val="center"/>
        <w:rPr>
          <w:rFonts w:cstheme="minorHAnsi"/>
          <w:lang w:val="es-ES"/>
        </w:rPr>
      </w:pPr>
      <w:r w:rsidRPr="00165A0E">
        <w:rPr>
          <w:rFonts w:cstheme="minorHAnsi"/>
          <w:lang w:val="es-ES"/>
        </w:rPr>
        <w:t>Bogdan Liviu Florea</w:t>
      </w:r>
    </w:p>
    <w:p w14:paraId="5AFCEDC3" w14:textId="77777777" w:rsidR="003408C0" w:rsidRPr="00165A0E" w:rsidRDefault="00000000">
      <w:pPr>
        <w:jc w:val="both"/>
        <w:rPr>
          <w:rFonts w:cstheme="minorHAnsi"/>
          <w:lang w:val="es-ES"/>
        </w:rPr>
      </w:pPr>
      <w:r w:rsidRPr="00165A0E">
        <w:rPr>
          <w:rFonts w:cstheme="minorHAnsi"/>
          <w:lang w:val="es-ES"/>
        </w:rPr>
        <w:tab/>
      </w:r>
      <w:r w:rsidRPr="00165A0E">
        <w:rPr>
          <w:rFonts w:cstheme="minorHAnsi"/>
          <w:lang w:val="es-ES"/>
        </w:rPr>
        <w:tab/>
      </w:r>
      <w:r w:rsidRPr="00165A0E">
        <w:rPr>
          <w:rFonts w:cstheme="minorHAnsi"/>
          <w:lang w:val="es-ES"/>
        </w:rPr>
        <w:tab/>
      </w:r>
      <w:r w:rsidRPr="00165A0E">
        <w:rPr>
          <w:rFonts w:cstheme="minorHAnsi"/>
          <w:lang w:val="es-ES"/>
        </w:rPr>
        <w:tab/>
      </w:r>
      <w:r w:rsidRPr="00165A0E">
        <w:rPr>
          <w:rFonts w:cstheme="minorHAnsi"/>
          <w:lang w:val="es-ES"/>
        </w:rPr>
        <w:tab/>
        <w:t xml:space="preserve"> </w:t>
      </w:r>
    </w:p>
    <w:sectPr w:rsidR="003408C0" w:rsidRPr="00165A0E">
      <w:headerReference w:type="default" r:id="rId11"/>
      <w:footerReference w:type="default" r:id="rId12"/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B7B3" w14:textId="77777777" w:rsidR="00FC1C90" w:rsidRDefault="00FC1C90">
      <w:r>
        <w:separator/>
      </w:r>
    </w:p>
  </w:endnote>
  <w:endnote w:type="continuationSeparator" w:id="0">
    <w:p w14:paraId="2FA6192E" w14:textId="77777777" w:rsidR="00FC1C90" w:rsidRDefault="00FC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D50" w14:textId="77777777" w:rsidR="003408C0" w:rsidRDefault="00000000">
    <w:pPr>
      <w:pStyle w:val="Footer"/>
      <w:pBdr>
        <w:top w:val="single" w:sz="4" w:space="4" w:color="D9D9D9" w:themeColor="background1" w:themeShade="D9"/>
      </w:pBdr>
      <w:rPr>
        <w:color w:val="7F7F7F" w:themeColor="background1" w:themeShade="7F"/>
        <w:spacing w:val="60"/>
      </w:rPr>
    </w:pPr>
    <w:r>
      <w:rPr>
        <w:noProof/>
        <w:color w:val="7F7F7F" w:themeColor="background1" w:themeShade="7F"/>
        <w:spacing w:val="60"/>
      </w:rPr>
      <w:drawing>
        <wp:inline distT="0" distB="0" distL="0" distR="0" wp14:anchorId="7BDF9DBF" wp14:editId="4CB39BB3">
          <wp:extent cx="6412809" cy="851314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463" cy="86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FA0B" w14:textId="77777777" w:rsidR="00FC1C90" w:rsidRDefault="00FC1C90">
      <w:r>
        <w:separator/>
      </w:r>
    </w:p>
  </w:footnote>
  <w:footnote w:type="continuationSeparator" w:id="0">
    <w:p w14:paraId="47F64D7F" w14:textId="77777777" w:rsidR="00FC1C90" w:rsidRDefault="00FC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7A0C" w14:textId="77777777" w:rsidR="003408C0" w:rsidRDefault="00000000">
    <w:pPr>
      <w:pStyle w:val="Header"/>
    </w:pPr>
    <w:sdt>
      <w:sdtPr>
        <w:id w:val="132732525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165AD40D" wp14:editId="3585BE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10D9" w14:textId="77777777" w:rsidR="003408C0" w:rsidRDefault="0000000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5AD40D" id="Rectangle 1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16910D9" w14:textId="77777777" w:rsidR="003408C0" w:rsidRDefault="0000000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color w:val="000000"/>
      </w:rPr>
      <w:drawing>
        <wp:inline distT="0" distB="0" distL="0" distR="0" wp14:anchorId="66ED1505" wp14:editId="304C582E">
          <wp:extent cx="6210300" cy="793538"/>
          <wp:effectExtent l="0" t="0" r="0" b="6985"/>
          <wp:docPr id="2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793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90"/>
    <w:multiLevelType w:val="hybridMultilevel"/>
    <w:tmpl w:val="2E4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733"/>
    <w:multiLevelType w:val="hybridMultilevel"/>
    <w:tmpl w:val="E44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99"/>
    <w:multiLevelType w:val="hybridMultilevel"/>
    <w:tmpl w:val="0E96E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3230"/>
    <w:multiLevelType w:val="hybridMultilevel"/>
    <w:tmpl w:val="3F3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51A1"/>
    <w:multiLevelType w:val="hybridMultilevel"/>
    <w:tmpl w:val="9C9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C3E80"/>
    <w:multiLevelType w:val="hybridMultilevel"/>
    <w:tmpl w:val="AC34FAC0"/>
    <w:lvl w:ilvl="0" w:tplc="96385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88251">
    <w:abstractNumId w:val="2"/>
  </w:num>
  <w:num w:numId="2" w16cid:durableId="890382099">
    <w:abstractNumId w:val="5"/>
  </w:num>
  <w:num w:numId="3" w16cid:durableId="1861778370">
    <w:abstractNumId w:val="1"/>
  </w:num>
  <w:num w:numId="4" w16cid:durableId="2072382688">
    <w:abstractNumId w:val="3"/>
  </w:num>
  <w:num w:numId="5" w16cid:durableId="726337282">
    <w:abstractNumId w:val="0"/>
  </w:num>
  <w:num w:numId="6" w16cid:durableId="137573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C0"/>
    <w:rsid w:val="00165A0E"/>
    <w:rsid w:val="003408C0"/>
    <w:rsid w:val="003B48B5"/>
    <w:rsid w:val="009F4BA3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D043"/>
  <w15:chartTrackingRefBased/>
  <w15:docId w15:val="{0A8179B6-E3BD-400B-A9D7-C3C67B6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GB"/>
    </w:rPr>
  </w:style>
  <w:style w:type="paragraph" w:customStyle="1" w:styleId="Default0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ionsconsul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nectionsconsult.ro/wp-content/uploads/2023/03/Connections_Raport-Anual-31-dec-2022_final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ionsconsult.ro/wp-content/uploads/2023/03/Connections_Raport-Anual-31-dec-2022_RO-3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E17-24FD-4752-A40A-6C123DC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Stoicescu</dc:creator>
  <cp:keywords/>
  <dc:description/>
  <cp:lastModifiedBy>Magda Cristescu</cp:lastModifiedBy>
  <cp:revision>49</cp:revision>
  <cp:lastPrinted>2021-12-06T14:23:00Z</cp:lastPrinted>
  <dcterms:created xsi:type="dcterms:W3CDTF">2021-12-06T13:47:00Z</dcterms:created>
  <dcterms:modified xsi:type="dcterms:W3CDTF">2023-05-02T09:53:00Z</dcterms:modified>
</cp:coreProperties>
</file>