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oSpacing"/>
        <w:jc w:val="both"/>
        <w:rPr>
          <w:rFonts w:asciiTheme="minorHAnsi" w:hAnsiTheme="minorHAnsi" w:cstheme="minorHAnsi"/>
          <w:b/>
          <w:bCs/>
          <w:sz w:val="20"/>
          <w:szCs w:val="20"/>
        </w:rPr>
      </w:pPr>
      <w:r>
        <w:rPr>
          <w:b/>
          <w:bCs/>
          <w:sz w:val="20"/>
          <w:szCs w:val="20"/>
          <w:lang w:val="en"/>
        </w:rPr>
        <w:t>To,</w:t>
      </w:r>
    </w:p>
    <w:p>
      <w:pPr>
        <w:shd w:val="clear" w:color="auto" w:fill="FFFFFF"/>
        <w:spacing w:after="160"/>
        <w:jc w:val="both"/>
        <w:rPr>
          <w:rFonts w:cstheme="minorHAnsi"/>
          <w:b/>
          <w:color w:val="333333"/>
          <w:sz w:val="20"/>
          <w:szCs w:val="20"/>
          <w:lang w:val="es-ES"/>
        </w:rPr>
      </w:pPr>
      <w:r>
        <w:rPr>
          <w:b/>
          <w:color w:val="333333"/>
          <w:sz w:val="20"/>
          <w:szCs w:val="20"/>
          <w:lang w:val="en"/>
        </w:rPr>
        <w:t>Bucharest Stock Exchange</w:t>
      </w:r>
    </w:p>
    <w:p>
      <w:pPr>
        <w:shd w:val="clear" w:color="auto" w:fill="FFFFFF"/>
        <w:spacing w:after="160"/>
        <w:jc w:val="both"/>
        <w:rPr>
          <w:rFonts w:cstheme="minorHAnsi"/>
          <w:b/>
          <w:color w:val="333333"/>
          <w:sz w:val="20"/>
          <w:szCs w:val="20"/>
          <w:lang w:val="es-ES"/>
        </w:rPr>
      </w:pPr>
      <w:r>
        <w:rPr>
          <w:b/>
          <w:color w:val="333333"/>
          <w:sz w:val="20"/>
          <w:szCs w:val="20"/>
          <w:lang w:val="en"/>
        </w:rPr>
        <w:t>Financial Supervisory Authority</w:t>
      </w:r>
    </w:p>
    <w:p>
      <w:pPr>
        <w:jc w:val="both"/>
        <w:rPr>
          <w:rFonts w:cstheme="minorHAnsi"/>
          <w:b/>
          <w:bCs/>
          <w:sz w:val="20"/>
          <w:szCs w:val="20"/>
          <w:lang w:val="es-ES"/>
        </w:rPr>
      </w:pPr>
      <w:r>
        <w:rPr>
          <w:b/>
          <w:bCs/>
          <w:sz w:val="20"/>
          <w:szCs w:val="20"/>
          <w:lang w:val="en"/>
        </w:rPr>
        <w:t>Ref: change in the 2022 financial calendar</w:t>
      </w:r>
    </w:p>
    <w:p>
      <w:pPr>
        <w:jc w:val="both"/>
        <w:rPr>
          <w:rFonts w:cstheme="minorHAnsi"/>
          <w:sz w:val="20"/>
          <w:szCs w:val="20"/>
        </w:rPr>
      </w:pPr>
    </w:p>
    <w:p>
      <w:pPr>
        <w:shd w:val="clear" w:color="auto" w:fill="FFFFFF"/>
        <w:jc w:val="center"/>
        <w:rPr>
          <w:rFonts w:cstheme="minorHAnsi"/>
          <w:b/>
          <w:color w:val="333333"/>
          <w:sz w:val="20"/>
          <w:szCs w:val="20"/>
        </w:rPr>
      </w:pPr>
      <w:r>
        <w:rPr>
          <w:b/>
          <w:color w:val="333333"/>
          <w:sz w:val="20"/>
          <w:szCs w:val="20"/>
          <w:lang w:val="en"/>
        </w:rPr>
        <w:t>Current Report No. 3323</w:t>
      </w:r>
    </w:p>
    <w:p>
      <w:pPr>
        <w:shd w:val="clear" w:color="auto" w:fill="FFFFFF"/>
        <w:spacing w:after="160"/>
        <w:jc w:val="both"/>
        <w:rPr>
          <w:rFonts w:cstheme="minorHAnsi"/>
          <w:b/>
          <w:color w:val="333333"/>
          <w:sz w:val="20"/>
          <w:szCs w:val="20"/>
        </w:rPr>
      </w:pPr>
    </w:p>
    <w:tbl>
      <w:tblPr>
        <w:tblStyle w:val="TableGrid"/>
        <w:tblW w:w="10349" w:type="dxa"/>
        <w:tblLayout w:type="fixed"/>
        <w:tblLook w:val="0400" w:firstRow="0" w:lastRow="0" w:firstColumn="0" w:lastColumn="0" w:noHBand="0" w:noVBand="1"/>
      </w:tblPr>
      <w:tblGrid>
        <w:gridCol w:w="5088"/>
        <w:gridCol w:w="5261"/>
      </w:tblGrid>
      <w:tr>
        <w:trPr>
          <w:trHeight w:val="413"/>
        </w:trPr>
        <w:tc>
          <w:tcPr>
            <w:tcW w:w="5088" w:type="dxa"/>
          </w:tcPr>
          <w:p>
            <w:pPr>
              <w:spacing w:after="160"/>
              <w:jc w:val="both"/>
              <w:rPr>
                <w:rFonts w:cstheme="minorHAnsi"/>
                <w:color w:val="333333"/>
                <w:sz w:val="20"/>
                <w:szCs w:val="20"/>
              </w:rPr>
            </w:pPr>
            <w:bookmarkStart w:id="0" w:name="_gjdgxs" w:colFirst="0" w:colLast="0"/>
            <w:bookmarkEnd w:id="0"/>
            <w:r>
              <w:rPr>
                <w:color w:val="333333"/>
                <w:sz w:val="20"/>
                <w:szCs w:val="20"/>
                <w:lang w:val="en"/>
              </w:rPr>
              <w:t>Date of report:</w:t>
            </w:r>
          </w:p>
        </w:tc>
        <w:tc>
          <w:tcPr>
            <w:tcW w:w="5261" w:type="dxa"/>
          </w:tcPr>
          <w:p>
            <w:pPr>
              <w:shd w:val="clear" w:color="auto" w:fill="FFFFFF"/>
              <w:jc w:val="both"/>
              <w:rPr>
                <w:rFonts w:cstheme="minorHAnsi"/>
                <w:color w:val="333333"/>
                <w:sz w:val="20"/>
                <w:szCs w:val="20"/>
              </w:rPr>
            </w:pPr>
            <w:r>
              <w:rPr>
                <w:color w:val="333333"/>
                <w:sz w:val="20"/>
                <w:szCs w:val="20"/>
                <w:lang w:val="en"/>
              </w:rPr>
              <w:t>22.08.2022</w:t>
            </w:r>
          </w:p>
        </w:tc>
      </w:tr>
      <w:tr>
        <w:trPr>
          <w:trHeight w:val="413"/>
        </w:trPr>
        <w:tc>
          <w:tcPr>
            <w:tcW w:w="5088" w:type="dxa"/>
          </w:tcPr>
          <w:p>
            <w:pPr>
              <w:spacing w:after="160"/>
              <w:jc w:val="both"/>
              <w:rPr>
                <w:rFonts w:cstheme="minorHAnsi"/>
                <w:color w:val="333333"/>
                <w:sz w:val="20"/>
                <w:szCs w:val="20"/>
              </w:rPr>
            </w:pPr>
            <w:r>
              <w:rPr>
                <w:color w:val="333333"/>
                <w:sz w:val="20"/>
                <w:szCs w:val="20"/>
                <w:lang w:val="en"/>
              </w:rPr>
              <w:t>Name of the issuing entity:</w:t>
            </w:r>
          </w:p>
        </w:tc>
        <w:tc>
          <w:tcPr>
            <w:tcW w:w="5261" w:type="dxa"/>
          </w:tcPr>
          <w:p>
            <w:pPr>
              <w:spacing w:after="160"/>
              <w:jc w:val="both"/>
              <w:rPr>
                <w:rFonts w:cstheme="minorHAnsi"/>
                <w:color w:val="333333"/>
                <w:sz w:val="20"/>
                <w:szCs w:val="20"/>
              </w:rPr>
            </w:pPr>
            <w:r>
              <w:rPr>
                <w:b/>
                <w:color w:val="333333"/>
                <w:sz w:val="20"/>
                <w:szCs w:val="20"/>
                <w:lang w:val="en"/>
              </w:rPr>
              <w:t>CONNECTIONS CONSULT S.A</w:t>
            </w:r>
            <w:r>
              <w:rPr>
                <w:color w:val="333333"/>
                <w:sz w:val="20"/>
                <w:szCs w:val="20"/>
                <w:lang w:val="en"/>
              </w:rPr>
              <w:t>.</w:t>
            </w:r>
          </w:p>
        </w:tc>
      </w:tr>
      <w:tr>
        <w:trPr>
          <w:trHeight w:val="361"/>
        </w:trPr>
        <w:tc>
          <w:tcPr>
            <w:tcW w:w="5088" w:type="dxa"/>
          </w:tcPr>
          <w:p>
            <w:pPr>
              <w:spacing w:after="160"/>
              <w:jc w:val="both"/>
              <w:rPr>
                <w:rFonts w:cstheme="minorHAnsi"/>
                <w:color w:val="333333"/>
                <w:sz w:val="20"/>
                <w:szCs w:val="20"/>
              </w:rPr>
            </w:pPr>
            <w:r>
              <w:rPr>
                <w:color w:val="333333"/>
                <w:sz w:val="20"/>
                <w:szCs w:val="20"/>
                <w:lang w:val="en"/>
              </w:rPr>
              <w:t>Registered office:</w:t>
            </w:r>
          </w:p>
        </w:tc>
        <w:tc>
          <w:tcPr>
            <w:tcW w:w="5261" w:type="dxa"/>
          </w:tcPr>
          <w:p>
            <w:pPr>
              <w:shd w:val="clear" w:color="auto" w:fill="FFFFFF"/>
              <w:jc w:val="both"/>
              <w:rPr>
                <w:rFonts w:cstheme="minorHAnsi"/>
                <w:color w:val="333333"/>
                <w:sz w:val="20"/>
                <w:szCs w:val="20"/>
              </w:rPr>
            </w:pPr>
            <w:r>
              <w:rPr>
                <w:color w:val="333333"/>
                <w:sz w:val="20"/>
                <w:szCs w:val="20"/>
                <w:lang w:val="en"/>
              </w:rPr>
              <w:t>Str Buzesti Nr. 75-77, et 14, sector 1, Bucharest</w:t>
            </w:r>
          </w:p>
        </w:tc>
      </w:tr>
      <w:tr>
        <w:trPr>
          <w:trHeight w:val="413"/>
        </w:trPr>
        <w:tc>
          <w:tcPr>
            <w:tcW w:w="5088" w:type="dxa"/>
          </w:tcPr>
          <w:p>
            <w:pPr>
              <w:spacing w:after="160"/>
              <w:jc w:val="both"/>
              <w:rPr>
                <w:rFonts w:cstheme="minorHAnsi"/>
                <w:color w:val="333333"/>
                <w:sz w:val="20"/>
                <w:szCs w:val="20"/>
              </w:rPr>
            </w:pPr>
            <w:r>
              <w:rPr>
                <w:color w:val="333333"/>
                <w:sz w:val="20"/>
                <w:szCs w:val="20"/>
                <w:lang w:val="en"/>
              </w:rPr>
              <w:t>Phone/ fax number:</w:t>
            </w:r>
          </w:p>
        </w:tc>
        <w:tc>
          <w:tcPr>
            <w:tcW w:w="5261" w:type="dxa"/>
          </w:tcPr>
          <w:p>
            <w:pPr>
              <w:spacing w:after="160"/>
              <w:jc w:val="both"/>
              <w:rPr>
                <w:rFonts w:cstheme="minorHAnsi"/>
                <w:color w:val="333333"/>
                <w:sz w:val="20"/>
                <w:szCs w:val="20"/>
              </w:rPr>
            </w:pPr>
            <w:r>
              <w:rPr>
                <w:color w:val="333333"/>
                <w:sz w:val="20"/>
                <w:szCs w:val="20"/>
                <w:lang w:val="en"/>
              </w:rPr>
              <w:t>0372 368 332/ 0372 006 765</w:t>
            </w:r>
          </w:p>
        </w:tc>
      </w:tr>
      <w:tr>
        <w:trPr>
          <w:trHeight w:val="424"/>
        </w:trPr>
        <w:tc>
          <w:tcPr>
            <w:tcW w:w="5088" w:type="dxa"/>
          </w:tcPr>
          <w:p>
            <w:pPr>
              <w:spacing w:after="160"/>
              <w:jc w:val="both"/>
              <w:rPr>
                <w:rFonts w:cstheme="minorHAnsi"/>
                <w:color w:val="333333"/>
                <w:sz w:val="20"/>
                <w:szCs w:val="20"/>
              </w:rPr>
            </w:pPr>
            <w:r>
              <w:rPr>
                <w:color w:val="333333"/>
                <w:sz w:val="20"/>
                <w:szCs w:val="20"/>
                <w:lang w:val="en"/>
              </w:rPr>
              <w:t>Unique registration code:</w:t>
            </w:r>
          </w:p>
        </w:tc>
        <w:tc>
          <w:tcPr>
            <w:tcW w:w="5261" w:type="dxa"/>
          </w:tcPr>
          <w:p>
            <w:pPr>
              <w:shd w:val="clear" w:color="auto" w:fill="FFFFFF"/>
              <w:jc w:val="both"/>
              <w:rPr>
                <w:rFonts w:cstheme="minorHAnsi"/>
                <w:color w:val="333333"/>
                <w:sz w:val="20"/>
                <w:szCs w:val="20"/>
              </w:rPr>
            </w:pPr>
            <w:r>
              <w:rPr>
                <w:color w:val="333333"/>
                <w:sz w:val="20"/>
                <w:szCs w:val="20"/>
                <w:lang w:val="en"/>
              </w:rPr>
              <w:t>EN 17753763</w:t>
            </w:r>
          </w:p>
        </w:tc>
      </w:tr>
      <w:tr>
        <w:trPr>
          <w:trHeight w:val="399"/>
        </w:trPr>
        <w:tc>
          <w:tcPr>
            <w:tcW w:w="5088" w:type="dxa"/>
          </w:tcPr>
          <w:p>
            <w:pPr>
              <w:spacing w:after="160"/>
              <w:jc w:val="both"/>
              <w:rPr>
                <w:rFonts w:cstheme="minorHAnsi"/>
                <w:color w:val="333333"/>
                <w:sz w:val="20"/>
                <w:szCs w:val="20"/>
              </w:rPr>
            </w:pPr>
            <w:r>
              <w:rPr>
                <w:color w:val="333333"/>
                <w:sz w:val="20"/>
                <w:szCs w:val="20"/>
                <w:lang w:val="en"/>
              </w:rPr>
              <w:t>Order number in the Trade Register:</w:t>
            </w:r>
          </w:p>
        </w:tc>
        <w:tc>
          <w:tcPr>
            <w:tcW w:w="5261" w:type="dxa"/>
          </w:tcPr>
          <w:p>
            <w:pPr>
              <w:spacing w:after="160"/>
              <w:jc w:val="both"/>
              <w:rPr>
                <w:rFonts w:cstheme="minorHAnsi"/>
                <w:color w:val="333333"/>
                <w:sz w:val="20"/>
                <w:szCs w:val="20"/>
              </w:rPr>
            </w:pPr>
            <w:r>
              <w:rPr>
                <w:color w:val="333333"/>
                <w:sz w:val="20"/>
                <w:szCs w:val="20"/>
                <w:lang w:val="en"/>
              </w:rPr>
              <w:t>J40/11864/2005</w:t>
            </w:r>
          </w:p>
        </w:tc>
      </w:tr>
      <w:tr>
        <w:trPr>
          <w:trHeight w:val="413"/>
        </w:trPr>
        <w:tc>
          <w:tcPr>
            <w:tcW w:w="5088" w:type="dxa"/>
          </w:tcPr>
          <w:p>
            <w:pPr>
              <w:spacing w:after="160"/>
              <w:jc w:val="both"/>
              <w:rPr>
                <w:rFonts w:cstheme="minorHAnsi"/>
                <w:color w:val="333333"/>
                <w:sz w:val="20"/>
                <w:szCs w:val="20"/>
                <w:lang w:val="es-ES"/>
              </w:rPr>
            </w:pPr>
            <w:r>
              <w:rPr>
                <w:color w:val="333333"/>
                <w:sz w:val="20"/>
                <w:szCs w:val="20"/>
                <w:lang w:val="en"/>
              </w:rPr>
              <w:t>Subscribed and paid-up share capital:</w:t>
            </w:r>
          </w:p>
        </w:tc>
        <w:tc>
          <w:tcPr>
            <w:tcW w:w="5261" w:type="dxa"/>
          </w:tcPr>
          <w:p>
            <w:pPr>
              <w:spacing w:after="160"/>
              <w:jc w:val="both"/>
              <w:rPr>
                <w:rFonts w:cstheme="minorHAnsi"/>
                <w:color w:val="333333"/>
                <w:sz w:val="20"/>
                <w:szCs w:val="20"/>
              </w:rPr>
            </w:pPr>
            <w:r>
              <w:rPr>
                <w:color w:val="333333"/>
                <w:sz w:val="20"/>
                <w:szCs w:val="20"/>
                <w:lang w:val="en"/>
              </w:rPr>
              <w:t>1,189,272.70 lei</w:t>
            </w:r>
          </w:p>
        </w:tc>
      </w:tr>
      <w:tr>
        <w:trPr>
          <w:trHeight w:val="677"/>
        </w:trPr>
        <w:tc>
          <w:tcPr>
            <w:tcW w:w="5088" w:type="dxa"/>
          </w:tcPr>
          <w:p>
            <w:pPr>
              <w:spacing w:after="160"/>
              <w:jc w:val="both"/>
              <w:rPr>
                <w:rFonts w:cstheme="minorHAnsi"/>
                <w:color w:val="333333"/>
                <w:sz w:val="20"/>
                <w:szCs w:val="20"/>
                <w:lang w:val="es-ES"/>
              </w:rPr>
            </w:pPr>
            <w:r>
              <w:rPr>
                <w:color w:val="333333"/>
                <w:sz w:val="20"/>
                <w:szCs w:val="20"/>
                <w:lang w:val="en"/>
              </w:rPr>
              <w:t>The market on which the issued securities are traded:</w:t>
            </w:r>
          </w:p>
        </w:tc>
        <w:tc>
          <w:tcPr>
            <w:tcW w:w="5261" w:type="dxa"/>
          </w:tcPr>
          <w:p>
            <w:pPr>
              <w:spacing w:after="160"/>
              <w:jc w:val="both"/>
              <w:rPr>
                <w:rFonts w:cstheme="minorHAnsi"/>
                <w:color w:val="333333"/>
                <w:sz w:val="20"/>
                <w:szCs w:val="20"/>
                <w:lang w:val="es-ES"/>
              </w:rPr>
            </w:pPr>
            <w:r>
              <w:rPr>
                <w:color w:val="333333"/>
                <w:sz w:val="20"/>
                <w:szCs w:val="20"/>
                <w:lang w:val="en"/>
              </w:rPr>
              <w:t xml:space="preserve">SMT - category AeRO, market symbol </w:t>
            </w:r>
            <w:r>
              <w:rPr>
                <w:b/>
                <w:color w:val="333333"/>
                <w:sz w:val="20"/>
                <w:szCs w:val="20"/>
                <w:lang w:val="en"/>
              </w:rPr>
              <w:t>CC</w:t>
            </w:r>
          </w:p>
        </w:tc>
      </w:tr>
    </w:tbl>
    <w:p>
      <w:pPr>
        <w:jc w:val="both"/>
        <w:rPr>
          <w:rFonts w:cstheme="minorHAnsi"/>
          <w:sz w:val="20"/>
          <w:szCs w:val="20"/>
          <w:lang w:val="es-ES"/>
        </w:rPr>
      </w:pPr>
    </w:p>
    <w:p>
      <w:pPr>
        <w:jc w:val="both"/>
        <w:rPr>
          <w:rFonts w:cstheme="minorHAnsi"/>
          <w:sz w:val="20"/>
          <w:szCs w:val="20"/>
          <w:lang w:val="es-ES"/>
        </w:rPr>
      </w:pPr>
      <w:r>
        <w:rPr>
          <w:sz w:val="20"/>
          <w:szCs w:val="20"/>
          <w:lang w:val="en"/>
        </w:rPr>
        <w:t xml:space="preserve">Current report prepared in accordance with Law no. 24/2017 on issuers of financial instruments and market operations, ASF Regulation no. ANRE President's Order no. 5/2018 </w:t>
      </w:r>
      <w:r>
        <w:rPr>
          <w:lang w:val="en"/>
        </w:rPr>
        <w:t xml:space="preserve"> on issuers of financial instruments </w:t>
      </w:r>
      <w:r>
        <w:rPr>
          <w:sz w:val="20"/>
          <w:szCs w:val="20"/>
          <w:lang w:val="en"/>
        </w:rPr>
        <w:t>and market operations and/or the Bucharest Stock Exchange Code for the Multilateral Trading System.</w:t>
      </w:r>
    </w:p>
    <w:p>
      <w:pPr>
        <w:jc w:val="both"/>
        <w:rPr>
          <w:rFonts w:cstheme="minorHAnsi"/>
          <w:sz w:val="20"/>
          <w:szCs w:val="20"/>
          <w:lang w:val="es-ES"/>
        </w:rPr>
      </w:pPr>
    </w:p>
    <w:p>
      <w:pPr>
        <w:jc w:val="both"/>
        <w:rPr>
          <w:rFonts w:cstheme="minorHAnsi"/>
          <w:sz w:val="20"/>
          <w:szCs w:val="20"/>
          <w:lang w:val="es-ES"/>
        </w:rPr>
      </w:pPr>
      <w:r>
        <w:rPr>
          <w:b/>
          <w:bCs/>
          <w:sz w:val="20"/>
          <w:szCs w:val="20"/>
          <w:lang w:val="en"/>
        </w:rPr>
        <w:t xml:space="preserve">Important events to report: </w:t>
      </w:r>
      <w:r>
        <w:rPr>
          <w:sz w:val="20"/>
          <w:szCs w:val="20"/>
          <w:lang w:val="en"/>
        </w:rPr>
        <w:t>Changes to the financial calendar for 2022</w:t>
      </w:r>
    </w:p>
    <w:p>
      <w:pPr>
        <w:shd w:val="clear" w:color="auto" w:fill="FFFFFF"/>
        <w:spacing w:before="200" w:after="200"/>
        <w:jc w:val="both"/>
        <w:rPr>
          <w:rFonts w:eastAsia="Times New Roman" w:cstheme="minorHAnsi"/>
          <w:color w:val="333333"/>
          <w:sz w:val="20"/>
          <w:szCs w:val="20"/>
          <w:lang w:val="en-US"/>
        </w:rPr>
      </w:pPr>
      <w:r>
        <w:rPr>
          <w:color w:val="333333"/>
          <w:sz w:val="20"/>
          <w:szCs w:val="20"/>
          <w:lang w:val="en"/>
        </w:rPr>
        <w:t>Connections Consult SA (hereinafter referred to as "the Company") informs the market about the modification of the financial calendar for 2022 respectively the modification of the date of publication of the Report, respectively the Financial Statements for the 1st Semester of 2022, the updated data being provided below:</w:t>
      </w:r>
    </w:p>
    <w:tbl>
      <w:tblPr>
        <w:tblStyle w:val="TableGrid"/>
        <w:tblW w:w="10408" w:type="dxa"/>
        <w:tblInd w:w="-5" w:type="dxa"/>
        <w:tblLook w:val="04A0" w:firstRow="1" w:lastRow="0" w:firstColumn="1" w:lastColumn="0" w:noHBand="0" w:noVBand="1"/>
      </w:tblPr>
      <w:tblGrid>
        <w:gridCol w:w="8184"/>
        <w:gridCol w:w="2224"/>
      </w:tblGrid>
      <w:tr>
        <w:trPr>
          <w:trHeight w:val="433"/>
        </w:trPr>
        <w:tc>
          <w:tcPr>
            <w:tcW w:w="8184" w:type="dxa"/>
          </w:tcPr>
          <w:p>
            <w:pPr>
              <w:spacing w:before="120" w:after="200" w:line="253" w:lineRule="atLeast"/>
              <w:jc w:val="both"/>
              <w:rPr>
                <w:rFonts w:cstheme="minorHAnsi"/>
                <w:b/>
                <w:bCs/>
                <w:sz w:val="20"/>
                <w:szCs w:val="20"/>
              </w:rPr>
            </w:pPr>
            <w:r>
              <w:rPr>
                <w:b/>
                <w:bCs/>
                <w:sz w:val="20"/>
                <w:szCs w:val="20"/>
                <w:lang w:val="en"/>
              </w:rPr>
              <w:t>Event</w:t>
            </w:r>
          </w:p>
        </w:tc>
        <w:tc>
          <w:tcPr>
            <w:tcW w:w="2224" w:type="dxa"/>
          </w:tcPr>
          <w:p>
            <w:pPr>
              <w:spacing w:before="120" w:after="200" w:line="253" w:lineRule="atLeast"/>
              <w:jc w:val="both"/>
              <w:rPr>
                <w:rFonts w:cstheme="minorHAnsi"/>
                <w:b/>
                <w:bCs/>
                <w:sz w:val="20"/>
                <w:szCs w:val="20"/>
              </w:rPr>
            </w:pPr>
            <w:r>
              <w:rPr>
                <w:b/>
                <w:bCs/>
                <w:sz w:val="20"/>
                <w:szCs w:val="20"/>
                <w:lang w:val="en"/>
              </w:rPr>
              <w:t>Date</w:t>
            </w:r>
          </w:p>
        </w:tc>
      </w:tr>
      <w:tr>
        <w:trPr>
          <w:trHeight w:val="317"/>
        </w:trPr>
        <w:tc>
          <w:tcPr>
            <w:tcW w:w="8184" w:type="dxa"/>
          </w:tcPr>
          <w:p>
            <w:pPr>
              <w:spacing w:before="120" w:after="200" w:line="253" w:lineRule="atLeast"/>
              <w:jc w:val="both"/>
              <w:rPr>
                <w:rFonts w:cstheme="minorHAnsi"/>
                <w:sz w:val="20"/>
                <w:szCs w:val="20"/>
              </w:rPr>
            </w:pPr>
            <w:r>
              <w:rPr>
                <w:sz w:val="20"/>
                <w:szCs w:val="20"/>
                <w:lang w:val="en"/>
              </w:rPr>
              <w:t>Extraordinary General Meeting of Shareholders</w:t>
            </w:r>
          </w:p>
        </w:tc>
        <w:tc>
          <w:tcPr>
            <w:tcW w:w="2224" w:type="dxa"/>
          </w:tcPr>
          <w:p>
            <w:pPr>
              <w:shd w:val="clear" w:color="auto" w:fill="FFFFFF"/>
              <w:spacing w:before="120" w:after="200" w:line="253" w:lineRule="atLeast"/>
              <w:jc w:val="both"/>
              <w:rPr>
                <w:rFonts w:cstheme="minorHAnsi"/>
                <w:sz w:val="20"/>
                <w:szCs w:val="20"/>
              </w:rPr>
            </w:pPr>
            <w:r>
              <w:rPr>
                <w:sz w:val="20"/>
                <w:szCs w:val="20"/>
                <w:lang w:val="en"/>
              </w:rPr>
              <w:t xml:space="preserve">30.04.2022 </w:t>
            </w:r>
          </w:p>
        </w:tc>
      </w:tr>
      <w:tr>
        <w:trPr>
          <w:trHeight w:val="317"/>
        </w:trPr>
        <w:tc>
          <w:tcPr>
            <w:tcW w:w="8184" w:type="dxa"/>
          </w:tcPr>
          <w:p>
            <w:pPr>
              <w:spacing w:before="120" w:after="200" w:line="253" w:lineRule="atLeast"/>
              <w:jc w:val="both"/>
              <w:rPr>
                <w:rFonts w:cstheme="minorHAnsi"/>
                <w:sz w:val="20"/>
                <w:szCs w:val="20"/>
              </w:rPr>
            </w:pPr>
            <w:r>
              <w:rPr>
                <w:sz w:val="20"/>
                <w:szCs w:val="20"/>
                <w:lang w:val="en"/>
              </w:rPr>
              <w:t>Ordinary General Meeting of Shareholders</w:t>
            </w:r>
          </w:p>
        </w:tc>
        <w:tc>
          <w:tcPr>
            <w:tcW w:w="2224" w:type="dxa"/>
          </w:tcPr>
          <w:p>
            <w:pPr>
              <w:shd w:val="clear" w:color="auto" w:fill="FFFFFF"/>
              <w:spacing w:before="120" w:after="200" w:line="253" w:lineRule="atLeast"/>
              <w:jc w:val="both"/>
              <w:rPr>
                <w:rFonts w:cstheme="minorHAnsi"/>
                <w:sz w:val="20"/>
                <w:szCs w:val="20"/>
              </w:rPr>
            </w:pPr>
            <w:r>
              <w:rPr>
                <w:sz w:val="20"/>
                <w:szCs w:val="20"/>
                <w:lang w:val="en"/>
              </w:rPr>
              <w:t xml:space="preserve">30.04.2022 </w:t>
            </w:r>
          </w:p>
        </w:tc>
      </w:tr>
      <w:tr>
        <w:trPr>
          <w:trHeight w:val="460"/>
        </w:trPr>
        <w:tc>
          <w:tcPr>
            <w:tcW w:w="8184" w:type="dxa"/>
          </w:tcPr>
          <w:p>
            <w:pPr>
              <w:spacing w:before="120" w:after="200" w:line="253" w:lineRule="atLeast"/>
              <w:jc w:val="both"/>
              <w:rPr>
                <w:rFonts w:cstheme="minorHAnsi"/>
                <w:sz w:val="20"/>
                <w:szCs w:val="20"/>
              </w:rPr>
            </w:pPr>
            <w:r>
              <w:rPr>
                <w:sz w:val="20"/>
                <w:szCs w:val="20"/>
                <w:lang w:val="en"/>
              </w:rPr>
              <w:t>Publication of the Annual Report, respectively of the Financial Statements on 31.12.2021 audited</w:t>
            </w:r>
          </w:p>
        </w:tc>
        <w:tc>
          <w:tcPr>
            <w:tcW w:w="2224" w:type="dxa"/>
          </w:tcPr>
          <w:p>
            <w:pPr>
              <w:shd w:val="clear" w:color="auto" w:fill="FFFFFF"/>
              <w:spacing w:before="120" w:after="200" w:line="253" w:lineRule="atLeast"/>
              <w:jc w:val="both"/>
              <w:rPr>
                <w:rFonts w:cstheme="minorHAnsi"/>
                <w:sz w:val="20"/>
                <w:szCs w:val="20"/>
              </w:rPr>
            </w:pPr>
            <w:r>
              <w:rPr>
                <w:sz w:val="20"/>
                <w:szCs w:val="20"/>
                <w:lang w:val="en"/>
              </w:rPr>
              <w:t xml:space="preserve">02.05.2022 </w:t>
            </w:r>
          </w:p>
        </w:tc>
      </w:tr>
      <w:tr>
        <w:trPr>
          <w:trHeight w:val="317"/>
        </w:trPr>
        <w:tc>
          <w:tcPr>
            <w:tcW w:w="8184" w:type="dxa"/>
          </w:tcPr>
          <w:p>
            <w:pPr>
              <w:spacing w:before="120" w:after="200" w:line="253" w:lineRule="atLeast"/>
              <w:jc w:val="both"/>
              <w:rPr>
                <w:rFonts w:cstheme="minorHAnsi"/>
                <w:sz w:val="20"/>
                <w:szCs w:val="20"/>
              </w:rPr>
            </w:pPr>
            <w:r>
              <w:rPr>
                <w:sz w:val="20"/>
                <w:szCs w:val="20"/>
                <w:lang w:val="en"/>
              </w:rPr>
              <w:t>Investors Conference</w:t>
            </w:r>
          </w:p>
        </w:tc>
        <w:tc>
          <w:tcPr>
            <w:tcW w:w="2224" w:type="dxa"/>
          </w:tcPr>
          <w:p>
            <w:pPr>
              <w:shd w:val="clear" w:color="auto" w:fill="FFFFFF"/>
              <w:spacing w:before="120" w:after="200" w:line="253" w:lineRule="atLeast"/>
              <w:jc w:val="both"/>
              <w:rPr>
                <w:rFonts w:cstheme="minorHAnsi"/>
                <w:sz w:val="20"/>
                <w:szCs w:val="20"/>
              </w:rPr>
            </w:pPr>
            <w:r>
              <w:rPr>
                <w:sz w:val="20"/>
                <w:szCs w:val="20"/>
                <w:lang w:val="en"/>
              </w:rPr>
              <w:t xml:space="preserve">08.06.2022 </w:t>
            </w:r>
          </w:p>
        </w:tc>
      </w:tr>
      <w:tr>
        <w:trPr>
          <w:trHeight w:val="460"/>
        </w:trPr>
        <w:tc>
          <w:tcPr>
            <w:tcW w:w="8184" w:type="dxa"/>
          </w:tcPr>
          <w:p>
            <w:pPr>
              <w:spacing w:before="120" w:after="200" w:line="253" w:lineRule="atLeast"/>
              <w:jc w:val="both"/>
              <w:rPr>
                <w:rFonts w:cstheme="minorHAnsi"/>
                <w:sz w:val="20"/>
                <w:szCs w:val="20"/>
              </w:rPr>
            </w:pPr>
            <w:r>
              <w:rPr>
                <w:sz w:val="20"/>
                <w:szCs w:val="20"/>
                <w:lang w:val="en"/>
              </w:rPr>
              <w:t xml:space="preserve">Publication of </w:t>
            </w:r>
            <w:bookmarkStart w:id="1" w:name="_Hlk112075444"/>
            <w:r>
              <w:rPr>
                <w:sz w:val="20"/>
                <w:szCs w:val="20"/>
                <w:lang w:val="en"/>
              </w:rPr>
              <w:t>the Report, respectively the Financial Statements at the 1st Semester 2022</w:t>
            </w:r>
            <w:bookmarkEnd w:id="1"/>
          </w:p>
        </w:tc>
        <w:tc>
          <w:tcPr>
            <w:tcW w:w="2224" w:type="dxa"/>
          </w:tcPr>
          <w:p>
            <w:pPr>
              <w:shd w:val="clear" w:color="auto" w:fill="FFFFFF"/>
              <w:spacing w:before="120" w:after="200" w:line="253" w:lineRule="atLeast"/>
              <w:jc w:val="both"/>
              <w:rPr>
                <w:rFonts w:cstheme="minorHAnsi"/>
                <w:sz w:val="20"/>
                <w:szCs w:val="20"/>
              </w:rPr>
            </w:pPr>
            <w:r>
              <w:rPr>
                <w:sz w:val="20"/>
                <w:szCs w:val="20"/>
                <w:lang w:val="en"/>
              </w:rPr>
              <w:t>26.09.2022</w:t>
            </w:r>
          </w:p>
        </w:tc>
      </w:tr>
      <w:tr>
        <w:trPr>
          <w:trHeight w:val="317"/>
        </w:trPr>
        <w:tc>
          <w:tcPr>
            <w:tcW w:w="8184" w:type="dxa"/>
          </w:tcPr>
          <w:p>
            <w:pPr>
              <w:spacing w:before="120" w:after="200" w:line="253" w:lineRule="atLeast"/>
              <w:jc w:val="both"/>
              <w:rPr>
                <w:rFonts w:cstheme="minorHAnsi"/>
                <w:sz w:val="20"/>
                <w:szCs w:val="20"/>
              </w:rPr>
            </w:pPr>
            <w:r>
              <w:rPr>
                <w:sz w:val="20"/>
                <w:szCs w:val="20"/>
                <w:lang w:val="en"/>
              </w:rPr>
              <w:t>Investors Conference</w:t>
            </w:r>
          </w:p>
        </w:tc>
        <w:tc>
          <w:tcPr>
            <w:tcW w:w="2224" w:type="dxa"/>
          </w:tcPr>
          <w:p>
            <w:pPr>
              <w:spacing w:before="120" w:after="200" w:line="253" w:lineRule="atLeast"/>
              <w:jc w:val="both"/>
              <w:rPr>
                <w:rFonts w:cstheme="minorHAnsi"/>
                <w:sz w:val="20"/>
                <w:szCs w:val="20"/>
              </w:rPr>
            </w:pPr>
            <w:r>
              <w:rPr>
                <w:sz w:val="20"/>
                <w:szCs w:val="20"/>
                <w:lang w:val="en"/>
              </w:rPr>
              <w:t>29.09.2022</w:t>
            </w:r>
          </w:p>
        </w:tc>
      </w:tr>
    </w:tbl>
    <w:p>
      <w:pPr>
        <w:ind w:left="3600" w:firstLine="720"/>
        <w:jc w:val="both"/>
        <w:rPr>
          <w:rFonts w:cstheme="minorHAnsi"/>
          <w:sz w:val="20"/>
          <w:szCs w:val="20"/>
          <w:lang w:val="es-ES"/>
        </w:rPr>
      </w:pPr>
    </w:p>
    <w:p>
      <w:pPr>
        <w:ind w:left="3600" w:firstLine="720"/>
        <w:jc w:val="both"/>
        <w:rPr>
          <w:rFonts w:cstheme="minorHAnsi"/>
          <w:sz w:val="20"/>
          <w:szCs w:val="20"/>
          <w:lang w:val="es-ES"/>
        </w:rPr>
      </w:pPr>
    </w:p>
    <w:p>
      <w:pPr>
        <w:ind w:left="6480" w:firstLine="720"/>
        <w:jc w:val="both"/>
        <w:rPr>
          <w:rFonts w:cstheme="minorHAnsi"/>
          <w:b/>
          <w:bCs/>
          <w:sz w:val="20"/>
          <w:szCs w:val="20"/>
          <w:lang w:val="es-ES"/>
        </w:rPr>
      </w:pPr>
      <w:r>
        <w:rPr>
          <w:b/>
          <w:bCs/>
          <w:sz w:val="20"/>
          <w:szCs w:val="20"/>
          <w:lang w:val="en"/>
        </w:rPr>
        <w:t>Bogdan FLOREA</w:t>
      </w:r>
    </w:p>
    <w:p>
      <w:pPr>
        <w:ind w:left="6480" w:firstLine="720"/>
        <w:jc w:val="both"/>
        <w:rPr>
          <w:rFonts w:eastAsia="Times New Roman" w:cstheme="minorHAnsi"/>
          <w:b/>
          <w:bCs/>
          <w:color w:val="000000"/>
          <w:lang w:val="es-ES"/>
        </w:rPr>
      </w:pPr>
    </w:p>
    <w:p>
      <w:pPr>
        <w:ind w:left="6480" w:firstLine="720"/>
        <w:jc w:val="both"/>
        <w:rPr>
          <w:rFonts w:cstheme="minorHAnsi"/>
          <w:b/>
          <w:bCs/>
          <w:sz w:val="20"/>
          <w:szCs w:val="20"/>
        </w:rPr>
      </w:pPr>
      <w:r>
        <w:rPr>
          <w:b/>
          <w:bCs/>
          <w:color w:val="000000"/>
          <w:sz w:val="20"/>
          <w:szCs w:val="20"/>
          <w:lang w:val="en"/>
        </w:rPr>
        <w:t>Chairman of the Board of Directors</w:t>
      </w:r>
    </w:p>
    <w:sectPr>
      <w:headerReference w:type="default" r:id="rId8"/>
      <w:footerReference w:type="default" r:id="rId9"/>
      <w:pgSz w:w="11906" w:h="16838"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rPr>
          <w:lang w:val="en"/>
        </w:rPr>
        <w:separator/>
      </w:r>
    </w:p>
  </w:endnote>
  <w:endnote w:type="continuationSeparator" w:id="0">
    <w:p>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top w:val="single" w:sz="4" w:space="4" w:color="D9D9D9" w:themeColor="background1" w:themeShade="D9"/>
      </w:pBdr>
      <w:rPr>
        <w:color w:val="7F7F7F" w:themeColor="background1" w:themeShade="7F"/>
        <w:spacing w:val="60"/>
      </w:rPr>
    </w:pPr>
    <w:r>
      <w:rPr>
        <w:noProof/>
        <w:color w:val="7F7F7F" w:themeColor="background1" w:themeShade="7F"/>
        <w:spacing w:val="60"/>
        <w:lang w:val="en"/>
      </w:rPr>
      <w:drawing>
        <wp:inline distT="0" distB="0" distL="0" distR="0">
          <wp:extent cx="6412809" cy="85131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7463" cy="8678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rPr>
          <w:lang w:val="en"/>
        </w:rPr>
        <w:separator/>
      </w:r>
    </w:p>
  </w:footnote>
  <w:footnote w:type="continuationSeparator" w:id="0">
    <w:p>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sdt>
      <w:sdtPr>
        <w:id w:val="1327325251"/>
        <w:docPartObj>
          <w:docPartGallery w:val="Page Numbers (Margins)"/>
          <w:docPartUnique/>
        </w:docPartObj>
      </w:sdtPr>
      <w:sdtContent>
        <w:r>
          <w:rPr>
            <w:noProof/>
            <w:lang w:val="en"/>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Footer"/>
                                <w:rPr>
                                  <w:rFonts w:asciiTheme="majorHAnsi" w:eastAsiaTheme="majorEastAsia" w:hAnsiTheme="majorHAnsi" w:cstheme="majorBidi"/>
                                  <w:sz w:val="44"/>
                                  <w:szCs w:val="44"/>
                                </w:rPr>
                              </w:pPr>
                              <w:r>
                                <w:rPr>
                                  <w:lang w:val="en"/>
                                </w:rPr>
                                <w:t>Page</w:t>
                              </w:r>
                              <w:r>
                                <w:rPr>
                                  <w:lang w:val="en"/>
                                </w:rPr>
                                <w:fldChar w:fldCharType="begin"/>
                              </w:r>
                              <w:r>
                                <w:rPr>
                                  <w:lang w:val="en"/>
                                </w:rPr>
                                <w:instrText xml:space="preserve"> PAGE    \* MERGEFORMAT </w:instrText>
                              </w:r>
                              <w:r>
                                <w:rPr>
                                  <w:lang w:val="en"/>
                                </w:rPr>
                                <w:fldChar w:fldCharType="separate"/>
                              </w:r>
                              <w:r>
                                <w:rPr>
                                  <w:noProof/>
                                  <w:sz w:val="44"/>
                                  <w:szCs w:val="44"/>
                                  <w:lang w:val="en"/>
                                </w:rPr>
                                <w:t>2</w:t>
                              </w:r>
                              <w:r>
                                <w:rPr>
                                  <w:noProof/>
                                  <w:sz w:val="44"/>
                                  <w:szCs w:val="44"/>
                                  <w:lang w:val="e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spid="_x0000_s1026"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v:textbox style="layout-flow:vertical;mso-layout-flow-alt:bottom-to-top;mso-fit-shape-to-text:t">
                    <w:txbxContent>
                      <w:p>
                        <w:pPr>
                          <w:pStyle w:val="Footer"/>
                          <w:rPr>
                            <w:rFonts w:asciiTheme="majorHAnsi" w:hAnsiTheme="majorHAnsi" w:eastAsiaTheme="majorEastAsia" w:cstheme="majorBidi"/>
                            <w:sz w:val="44"/>
                            <w:szCs w:val="44"/>
                          </w:rPr>
                        </w:pPr>
                        <w:r>
                          <w:rPr>
                            <w:lang w:val="en"/>
                          </w:rPr>
                          <w:t>Page</w:t>
                        </w:r>
                        <w:r>
                          <w:rPr>
                            <w:lang w:val="en"/>
                          </w:rPr>
                          <w:fldChar w:fldCharType="begin"/>
                        </w:r>
                        <w:r>
                          <w:rPr>
                            <w:lang w:val="en"/>
                          </w:rPr>
                          <w:instrText xml:space="preserve"> PAGE    \* MERGEFORMAT </w:instrText>
                        </w:r>
                        <w:r>
                          <w:rPr>
                            <w:lang w:val="en"/>
                          </w:rPr>
                          <w:fldChar w:fldCharType="separate"/>
                        </w:r>
                        <w:r>
                          <w:rPr>
                            <w:noProof/>
                            <w:sz w:val="44"/>
                            <w:szCs w:val="44"/>
                            <w:lang w:val="en"/>
                          </w:rPr>
                          <w:t>2</w:t>
                        </w:r>
                        <w:r>
                          <w:rPr>
                            <w:noProof/>
                            <w:sz w:val="44"/>
                            <w:szCs w:val="44"/>
                            <w:lang w:val="en"/>
                          </w:rPr>
                          <w:fldChar w:fldCharType="end"/>
                        </w:r>
                      </w:p>
                    </w:txbxContent>
                  </v:textbox>
                  <w10:wrap anchorx="margin" anchory="margin"/>
                </v:rect>
              </w:pict>
            </mc:Fallback>
          </mc:AlternateContent>
        </w:r>
      </w:sdtContent>
    </w:sdt>
    <w:r>
      <w:rPr>
        <w:noProof/>
        <w:color w:val="000000"/>
        <w:lang w:val="en"/>
      </w:rPr>
      <w:drawing>
        <wp:inline distT="0" distB="0" distL="0" distR="0">
          <wp:extent cx="6210300" cy="793115"/>
          <wp:effectExtent l="0" t="0" r="0" b="6985"/>
          <wp:docPr id="2"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1.png" descr="Shape&#10;&#10;Description automatically generated with medium confidence"/>
                  <pic:cNvPicPr preferRelativeResize="0"/>
                </pic:nvPicPr>
                <pic:blipFill>
                  <a:blip r:embed="rId1"/>
                  <a:srcRect/>
                  <a:stretch>
                    <a:fillRect/>
                  </a:stretch>
                </pic:blipFill>
                <pic:spPr>
                  <a:xfrm>
                    <a:off x="0" y="0"/>
                    <a:ext cx="6213612" cy="7935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C99"/>
    <w:multiLevelType w:val="hybridMultilevel"/>
    <w:tmpl w:val="0E96E91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7990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A8179B6-E3BD-400B-A9D7-C3C67B6B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lang w:val="en-US"/>
    </w:rPr>
  </w:style>
  <w:style w:type="character" w:customStyle="1" w:styleId="FooterChar">
    <w:name w:val="Footer Char"/>
    <w:basedOn w:val="DefaultParagraphFont"/>
    <w:link w:val="Footer"/>
    <w:uiPriority w:val="99"/>
  </w:style>
  <w:style w:type="character" w:customStyle="1" w:styleId="markedcontent">
    <w:name w:val="markedcontent"/>
    <w:basedOn w:val="DefaultParagraphFont"/>
  </w:style>
  <w:style w:type="paragraph" w:customStyle="1" w:styleId="default">
    <w:name w:val="default"/>
    <w:basedOn w:val="Normal"/>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Calibri" w:eastAsia="Calibri" w:hAnsi="Calibri" w:cs="Calibri"/>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3671">
      <w:bodyDiv w:val="1"/>
      <w:marLeft w:val="0"/>
      <w:marRight w:val="0"/>
      <w:marTop w:val="0"/>
      <w:marBottom w:val="0"/>
      <w:divBdr>
        <w:top w:val="none" w:sz="0" w:space="0" w:color="auto"/>
        <w:left w:val="none" w:sz="0" w:space="0" w:color="auto"/>
        <w:bottom w:val="none" w:sz="0" w:space="0" w:color="auto"/>
        <w:right w:val="none" w:sz="0" w:space="0" w:color="auto"/>
      </w:divBdr>
    </w:div>
    <w:div w:id="632175575">
      <w:bodyDiv w:val="1"/>
      <w:marLeft w:val="0"/>
      <w:marRight w:val="0"/>
      <w:marTop w:val="0"/>
      <w:marBottom w:val="0"/>
      <w:divBdr>
        <w:top w:val="none" w:sz="0" w:space="0" w:color="auto"/>
        <w:left w:val="none" w:sz="0" w:space="0" w:color="auto"/>
        <w:bottom w:val="none" w:sz="0" w:space="0" w:color="auto"/>
        <w:right w:val="none" w:sz="0" w:space="0" w:color="auto"/>
      </w:divBdr>
    </w:div>
    <w:div w:id="1144005335">
      <w:bodyDiv w:val="1"/>
      <w:marLeft w:val="0"/>
      <w:marRight w:val="0"/>
      <w:marTop w:val="0"/>
      <w:marBottom w:val="0"/>
      <w:divBdr>
        <w:top w:val="none" w:sz="0" w:space="0" w:color="auto"/>
        <w:left w:val="none" w:sz="0" w:space="0" w:color="auto"/>
        <w:bottom w:val="none" w:sz="0" w:space="0" w:color="auto"/>
        <w:right w:val="none" w:sz="0" w:space="0" w:color="auto"/>
      </w:divBdr>
    </w:div>
    <w:div w:id="1176848846">
      <w:bodyDiv w:val="1"/>
      <w:marLeft w:val="0"/>
      <w:marRight w:val="0"/>
      <w:marTop w:val="0"/>
      <w:marBottom w:val="0"/>
      <w:divBdr>
        <w:top w:val="none" w:sz="0" w:space="0" w:color="auto"/>
        <w:left w:val="none" w:sz="0" w:space="0" w:color="auto"/>
        <w:bottom w:val="none" w:sz="0" w:space="0" w:color="auto"/>
        <w:right w:val="none" w:sz="0" w:space="0" w:color="auto"/>
      </w:divBdr>
    </w:div>
    <w:div w:id="1252856015">
      <w:bodyDiv w:val="1"/>
      <w:marLeft w:val="0"/>
      <w:marRight w:val="0"/>
      <w:marTop w:val="0"/>
      <w:marBottom w:val="0"/>
      <w:divBdr>
        <w:top w:val="none" w:sz="0" w:space="0" w:color="auto"/>
        <w:left w:val="none" w:sz="0" w:space="0" w:color="auto"/>
        <w:bottom w:val="none" w:sz="0" w:space="0" w:color="auto"/>
        <w:right w:val="none" w:sz="0" w:space="0" w:color="auto"/>
      </w:divBdr>
    </w:div>
    <w:div w:id="1449856612">
      <w:bodyDiv w:val="1"/>
      <w:marLeft w:val="0"/>
      <w:marRight w:val="0"/>
      <w:marTop w:val="0"/>
      <w:marBottom w:val="0"/>
      <w:divBdr>
        <w:top w:val="none" w:sz="0" w:space="0" w:color="auto"/>
        <w:left w:val="none" w:sz="0" w:space="0" w:color="auto"/>
        <w:bottom w:val="none" w:sz="0" w:space="0" w:color="auto"/>
        <w:right w:val="none" w:sz="0" w:space="0" w:color="auto"/>
      </w:divBdr>
    </w:div>
    <w:div w:id="1811940155">
      <w:bodyDiv w:val="1"/>
      <w:marLeft w:val="0"/>
      <w:marRight w:val="0"/>
      <w:marTop w:val="0"/>
      <w:marBottom w:val="0"/>
      <w:divBdr>
        <w:top w:val="none" w:sz="0" w:space="0" w:color="auto"/>
        <w:left w:val="none" w:sz="0" w:space="0" w:color="auto"/>
        <w:bottom w:val="none" w:sz="0" w:space="0" w:color="auto"/>
        <w:right w:val="none" w:sz="0" w:space="0" w:color="auto"/>
      </w:divBdr>
    </w:div>
    <w:div w:id="18284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FE17-24FD-4752-A40A-6C123DC5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Stoicescu</dc:creator>
  <cp:keywords/>
  <dc:description/>
  <cp:lastModifiedBy>Magda Cristescu</cp:lastModifiedBy>
  <cp:revision>1</cp:revision>
  <cp:lastPrinted>2021-12-06T14:23:00Z</cp:lastPrinted>
  <dcterms:created xsi:type="dcterms:W3CDTF">2021-12-06T13:47:00Z</dcterms:created>
  <dcterms:modified xsi:type="dcterms:W3CDTF">2022-08-22T12:49:00Z</dcterms:modified>
  <cp:category/>
</cp:coreProperties>
</file>