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Spacing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Catre,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  <w:lang w:val="es-ES"/>
        </w:rPr>
      </w:pPr>
      <w:r>
        <w:rPr>
          <w:rFonts w:cstheme="minorHAnsi"/>
          <w:b/>
          <w:color w:val="333333"/>
          <w:lang w:val="es-ES"/>
        </w:rPr>
        <w:t>Bursa de Valori Bucuresti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  <w:lang w:val="es-ES"/>
        </w:rPr>
      </w:pPr>
      <w:r>
        <w:rPr>
          <w:rFonts w:cstheme="minorHAnsi"/>
          <w:b/>
          <w:color w:val="333333"/>
          <w:lang w:val="es-ES"/>
        </w:rPr>
        <w:t>Autoritatea de Supraveghere Financiara</w:t>
      </w:r>
    </w:p>
    <w:p>
      <w:pPr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Ref:  incheiere contract semnificativ</w:t>
      </w:r>
    </w:p>
    <w:p>
      <w:pPr>
        <w:jc w:val="both"/>
        <w:rPr>
          <w:rFonts w:cstheme="minorHAnsi"/>
        </w:rPr>
      </w:pPr>
    </w:p>
    <w:p>
      <w:pPr>
        <w:shd w:val="clear" w:color="auto" w:fill="FFFFFF"/>
        <w:jc w:val="center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>Raport curent Nr. 3286</w:t>
      </w:r>
    </w:p>
    <w:p>
      <w:pPr>
        <w:shd w:val="clear" w:color="auto" w:fill="FFFFFF"/>
        <w:jc w:val="center"/>
        <w:rPr>
          <w:rFonts w:cstheme="minorHAnsi"/>
          <w:b/>
          <w:color w:val="333333"/>
        </w:rPr>
      </w:pPr>
      <w:r>
        <w:rPr>
          <w:rFonts w:cstheme="minorHAnsi"/>
          <w:lang w:val="es-ES"/>
        </w:rPr>
        <w:t xml:space="preserve">intocmit în conformitate cu Legea nr. 24/2017 privind emitenții de instrumente financiare și operațiuni de piața, Regulamentul ASF nr. 5/2018 privind emitenții de instrumente financiare </w:t>
      </w:r>
      <w:r>
        <w:rPr>
          <w:rFonts w:cstheme="minorHAnsi"/>
          <w:lang w:val="ro-RO"/>
        </w:rPr>
        <w:t>ș</w:t>
      </w:r>
      <w:r>
        <w:rPr>
          <w:rFonts w:cstheme="minorHAnsi"/>
          <w:lang w:val="es-ES"/>
        </w:rPr>
        <w:t>i operațiuni de piață și/sau Codul Bursei de Valori București pentru Sistemul Multilateral de Tranzacționare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</w:rPr>
      </w:pPr>
    </w:p>
    <w:tbl>
      <w:tblPr>
        <w:tblW w:w="91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655"/>
      </w:tblGrid>
      <w:tr>
        <w:trPr>
          <w:trHeight w:val="369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bookmarkStart w:id="0" w:name="_gjdgxs" w:colFirst="0" w:colLast="0"/>
            <w:bookmarkEnd w:id="0"/>
            <w:r>
              <w:rPr>
                <w:rFonts w:cstheme="minorHAnsi"/>
                <w:color w:val="333333"/>
              </w:rPr>
              <w:t>Data raportului:  </w:t>
            </w:r>
          </w:p>
        </w:tc>
        <w:tc>
          <w:tcPr>
            <w:tcW w:w="4655" w:type="dxa"/>
            <w:vAlign w:val="center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13.07.2022</w:t>
            </w:r>
          </w:p>
        </w:tc>
      </w:tr>
      <w:tr>
        <w:trPr>
          <w:trHeight w:val="369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Denumirea entitatii emitente:  </w:t>
            </w:r>
          </w:p>
        </w:tc>
        <w:tc>
          <w:tcPr>
            <w:tcW w:w="4655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b/>
                <w:color w:val="333333"/>
              </w:rPr>
              <w:t>CONNECTIONS CONSULT S.A</w:t>
            </w:r>
            <w:r>
              <w:rPr>
                <w:rFonts w:cstheme="minorHAnsi"/>
                <w:color w:val="333333"/>
              </w:rPr>
              <w:t>.</w:t>
            </w:r>
          </w:p>
        </w:tc>
      </w:tr>
      <w:tr>
        <w:trPr>
          <w:trHeight w:val="322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Sediul social:   </w:t>
            </w:r>
          </w:p>
        </w:tc>
        <w:tc>
          <w:tcPr>
            <w:tcW w:w="4655" w:type="dxa"/>
            <w:vAlign w:val="center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  <w:lang w:val="es-ES"/>
              </w:rPr>
              <w:t xml:space="preserve">Strada Buzesti Nr. 75-77, Etaj 14, sector 1, Mun. </w:t>
            </w:r>
            <w:r>
              <w:rPr>
                <w:rFonts w:cstheme="minorHAnsi"/>
                <w:color w:val="333333"/>
              </w:rPr>
              <w:t>Bucuresti</w:t>
            </w:r>
          </w:p>
        </w:tc>
      </w:tr>
      <w:tr>
        <w:trPr>
          <w:trHeight w:val="369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Numarul de telefon/ fax:  </w:t>
            </w:r>
          </w:p>
        </w:tc>
        <w:tc>
          <w:tcPr>
            <w:tcW w:w="4655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0372 368 332/ 0372 006 765</w:t>
            </w:r>
          </w:p>
        </w:tc>
      </w:tr>
      <w:tr>
        <w:trPr>
          <w:trHeight w:val="379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Codul unic de inregistrare:</w:t>
            </w:r>
          </w:p>
        </w:tc>
        <w:tc>
          <w:tcPr>
            <w:tcW w:w="4655" w:type="dxa"/>
            <w:vAlign w:val="center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RO 17753763</w:t>
            </w:r>
          </w:p>
        </w:tc>
      </w:tr>
      <w:tr>
        <w:trPr>
          <w:trHeight w:val="468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Numar de ordine in Registrul Comertului:</w:t>
            </w:r>
          </w:p>
        </w:tc>
        <w:tc>
          <w:tcPr>
            <w:tcW w:w="4655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J40/11864/2005</w:t>
            </w:r>
          </w:p>
        </w:tc>
      </w:tr>
      <w:tr>
        <w:trPr>
          <w:trHeight w:val="369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>
              <w:rPr>
                <w:rFonts w:cstheme="minorHAnsi"/>
                <w:color w:val="333333"/>
                <w:lang w:val="es-ES"/>
              </w:rPr>
              <w:t>Capital social subscris si varsat:</w:t>
            </w:r>
          </w:p>
        </w:tc>
        <w:tc>
          <w:tcPr>
            <w:tcW w:w="4655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1.189.272,70 lei</w:t>
            </w:r>
          </w:p>
        </w:tc>
      </w:tr>
      <w:tr>
        <w:trPr>
          <w:trHeight w:val="604"/>
        </w:trPr>
        <w:tc>
          <w:tcPr>
            <w:tcW w:w="4503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>
              <w:rPr>
                <w:rFonts w:cstheme="minorHAnsi"/>
                <w:color w:val="333333"/>
                <w:lang w:val="es-ES"/>
              </w:rPr>
              <w:t>Piata pe care se tranzactioneaza valorile mobiliare emise:</w:t>
            </w:r>
          </w:p>
        </w:tc>
        <w:tc>
          <w:tcPr>
            <w:tcW w:w="4655" w:type="dxa"/>
            <w:vAlign w:val="center"/>
          </w:tcPr>
          <w:p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>
              <w:rPr>
                <w:rFonts w:cstheme="minorHAnsi"/>
                <w:color w:val="333333"/>
                <w:lang w:val="es-ES"/>
              </w:rPr>
              <w:t xml:space="preserve">SMT - categoria AeRO, simbol de piata </w:t>
            </w:r>
            <w:r>
              <w:rPr>
                <w:rFonts w:cstheme="minorHAnsi"/>
                <w:b/>
                <w:color w:val="333333"/>
                <w:lang w:val="es-ES"/>
              </w:rPr>
              <w:t>CC</w:t>
            </w:r>
          </w:p>
        </w:tc>
      </w:tr>
    </w:tbl>
    <w:p>
      <w:pPr>
        <w:jc w:val="both"/>
        <w:rPr>
          <w:rFonts w:cstheme="minorHAnsi"/>
          <w:lang w:val="es-ES"/>
        </w:rPr>
      </w:pPr>
    </w:p>
    <w:p>
      <w:pPr>
        <w:shd w:val="clear" w:color="auto" w:fill="FFFFFF"/>
        <w:spacing w:line="360" w:lineRule="auto"/>
        <w:jc w:val="both"/>
      </w:pPr>
      <w:r>
        <w:rPr>
          <w:b/>
          <w:bCs/>
        </w:rPr>
        <w:t>Eveniment important de raportat</w:t>
      </w:r>
      <w:r>
        <w:t xml:space="preserve">: Încheierea unui contract semnificativ </w:t>
      </w:r>
    </w:p>
    <w:p>
      <w:pPr>
        <w:shd w:val="clear" w:color="auto" w:fill="FFFFFF"/>
        <w:spacing w:line="360" w:lineRule="auto"/>
        <w:jc w:val="both"/>
      </w:pPr>
    </w:p>
    <w:p>
      <w:pPr>
        <w:shd w:val="clear" w:color="auto" w:fill="FFFFFF"/>
        <w:spacing w:line="360" w:lineRule="auto"/>
        <w:jc w:val="both"/>
      </w:pPr>
      <w:r>
        <w:t xml:space="preserve">In conformitate cu prevederile articolului 234 alineatul (1) litera i) din Regulamentul ASF nr. 5/2018 privind emitentii de instrumente financiare si operatiuni de piata si ale Legii nr. 24/2017 privind emitentii de instrumente financiare si operațiuni de piata, </w:t>
      </w:r>
    </w:p>
    <w:p>
      <w:pPr>
        <w:shd w:val="clear" w:color="auto" w:fill="FFFFFF"/>
        <w:spacing w:line="360" w:lineRule="auto"/>
        <w:jc w:val="both"/>
      </w:pPr>
    </w:p>
    <w:p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en-US"/>
        </w:rPr>
        <w:t>Connections Consult SA anunta semnarea, in parteneriat cu SC Innodata Solutions SRL, a contractului cu Regia Autonoma "Monitorului Oficial" pentru livrarea unei solutii integrate de tip Data Center Activ - Pasiv plus Back-Up si Disaster Recovery. Suma totala a activitatilor si echipamentelor livrate de Connections Consult SA este de 1,032,402 EUR plus TVA, iar marja asteptata este de 9%. Solutia va fi livrata pana la sfarsitul acestui an calendaristic.</w:t>
      </w:r>
    </w:p>
    <w:p>
      <w:pPr>
        <w:shd w:val="clear" w:color="auto" w:fill="FFFFFF"/>
        <w:spacing w:line="360" w:lineRule="auto"/>
        <w:jc w:val="both"/>
      </w:pPr>
    </w:p>
    <w:p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val="es-ES"/>
        </w:rPr>
      </w:pPr>
    </w:p>
    <w:p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ab/>
      </w:r>
      <w:r>
        <w:rPr>
          <w:rFonts w:eastAsia="Times New Roman" w:cstheme="minorHAnsi"/>
          <w:color w:val="000000"/>
          <w:lang w:val="es-ES"/>
        </w:rPr>
        <w:tab/>
      </w:r>
      <w:r>
        <w:rPr>
          <w:rFonts w:eastAsia="Times New Roman" w:cstheme="minorHAnsi"/>
          <w:color w:val="000000"/>
          <w:lang w:val="es-ES"/>
        </w:rPr>
        <w:tab/>
      </w:r>
      <w:r>
        <w:rPr>
          <w:rFonts w:eastAsia="Times New Roman" w:cstheme="minorHAnsi"/>
          <w:color w:val="000000"/>
          <w:lang w:val="es-ES"/>
        </w:rPr>
        <w:tab/>
      </w:r>
      <w:r>
        <w:rPr>
          <w:rFonts w:eastAsia="Times New Roman" w:cstheme="minorHAnsi"/>
          <w:b/>
          <w:bCs/>
          <w:color w:val="000000"/>
          <w:lang w:val="es-ES"/>
        </w:rPr>
        <w:t xml:space="preserve">                          Presedinte CA</w:t>
      </w:r>
    </w:p>
    <w:p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val="es-ES"/>
        </w:rPr>
      </w:pPr>
      <w:r>
        <w:rPr>
          <w:rFonts w:eastAsia="Times New Roman" w:cstheme="minorHAnsi"/>
          <w:b/>
          <w:bCs/>
          <w:color w:val="000000"/>
          <w:lang w:val="es-ES"/>
        </w:rPr>
        <w:tab/>
      </w:r>
      <w:r>
        <w:rPr>
          <w:rFonts w:eastAsia="Times New Roman" w:cstheme="minorHAnsi"/>
          <w:b/>
          <w:bCs/>
          <w:color w:val="000000"/>
          <w:lang w:val="es-ES"/>
        </w:rPr>
        <w:tab/>
      </w:r>
      <w:r>
        <w:rPr>
          <w:rFonts w:eastAsia="Times New Roman" w:cstheme="minorHAnsi"/>
          <w:b/>
          <w:bCs/>
          <w:color w:val="000000"/>
          <w:lang w:val="es-ES"/>
        </w:rPr>
        <w:tab/>
      </w:r>
      <w:r>
        <w:rPr>
          <w:rFonts w:eastAsia="Times New Roman" w:cstheme="minorHAnsi"/>
          <w:b/>
          <w:bCs/>
          <w:color w:val="000000"/>
          <w:lang w:val="es-ES"/>
        </w:rPr>
        <w:tab/>
      </w:r>
      <w:r>
        <w:rPr>
          <w:rFonts w:eastAsia="Times New Roman" w:cstheme="minorHAnsi"/>
          <w:b/>
          <w:bCs/>
          <w:color w:val="000000"/>
          <w:lang w:val="es-ES"/>
        </w:rPr>
        <w:tab/>
        <w:t xml:space="preserve">Bogdan Liviu Florea                                                                               </w:t>
      </w:r>
    </w:p>
    <w:p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val="ro-RO"/>
        </w:rPr>
      </w:pPr>
      <w:r>
        <w:rPr>
          <w:rFonts w:eastAsia="Times New Roman" w:cstheme="minorHAnsi"/>
          <w:color w:val="000000"/>
          <w:lang w:val="ro-RO"/>
        </w:rPr>
        <w:t xml:space="preserve">                                                                                                  </w:t>
      </w:r>
    </w:p>
    <w:sectPr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top w:val="single" w:sz="4" w:space="4" w:color="D9D9D9" w:themeColor="background1" w:themeShade="D9"/>
      </w:pBdr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</w:rPr>
      <w:drawing>
        <wp:inline distT="0" distB="0" distL="0" distR="0">
          <wp:extent cx="6412809" cy="8513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63" cy="86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sdt>
      <w:sdtPr>
        <w:id w:val="132732525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color w:val="000000"/>
      </w:rPr>
      <w:drawing>
        <wp:inline distT="0" distB="0" distL="0" distR="0">
          <wp:extent cx="6210300" cy="793538"/>
          <wp:effectExtent l="0" t="0" r="0" b="6985"/>
          <wp:docPr id="3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79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90"/>
    <w:multiLevelType w:val="hybridMultilevel"/>
    <w:tmpl w:val="2E4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733"/>
    <w:multiLevelType w:val="hybridMultilevel"/>
    <w:tmpl w:val="E44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99"/>
    <w:multiLevelType w:val="hybridMultilevel"/>
    <w:tmpl w:val="0E96E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05BE6"/>
    <w:multiLevelType w:val="hybridMultilevel"/>
    <w:tmpl w:val="76BCAF3A"/>
    <w:lvl w:ilvl="0" w:tplc="D396D4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43230"/>
    <w:multiLevelType w:val="hybridMultilevel"/>
    <w:tmpl w:val="3F3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1648"/>
    <w:multiLevelType w:val="hybridMultilevel"/>
    <w:tmpl w:val="08EE0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1010"/>
    <w:multiLevelType w:val="hybridMultilevel"/>
    <w:tmpl w:val="6BC4AB30"/>
    <w:lvl w:ilvl="0" w:tplc="89FCF5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551A1"/>
    <w:multiLevelType w:val="hybridMultilevel"/>
    <w:tmpl w:val="9C9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E80"/>
    <w:multiLevelType w:val="hybridMultilevel"/>
    <w:tmpl w:val="AC34FAC0"/>
    <w:lvl w:ilvl="0" w:tplc="9638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8251">
    <w:abstractNumId w:val="2"/>
  </w:num>
  <w:num w:numId="2" w16cid:durableId="890382099">
    <w:abstractNumId w:val="8"/>
  </w:num>
  <w:num w:numId="3" w16cid:durableId="1861778370">
    <w:abstractNumId w:val="1"/>
  </w:num>
  <w:num w:numId="4" w16cid:durableId="2072382688">
    <w:abstractNumId w:val="4"/>
  </w:num>
  <w:num w:numId="5" w16cid:durableId="726337282">
    <w:abstractNumId w:val="0"/>
  </w:num>
  <w:num w:numId="6" w16cid:durableId="1375739961">
    <w:abstractNumId w:val="7"/>
  </w:num>
  <w:num w:numId="7" w16cid:durableId="1781408306">
    <w:abstractNumId w:val="3"/>
  </w:num>
  <w:num w:numId="8" w16cid:durableId="1730879734">
    <w:abstractNumId w:val="6"/>
  </w:num>
  <w:num w:numId="9" w16cid:durableId="1991591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8179B6-E3BD-400B-A9D7-C3C67B6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customStyle="1" w:styleId="Default0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E17-24FD-4752-A40A-6C123DC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Stoicescu</dc:creator>
  <cp:keywords/>
  <dc:description/>
  <cp:lastModifiedBy>Magda Cristescu</cp:lastModifiedBy>
  <cp:revision>6</cp:revision>
  <cp:lastPrinted>2022-05-19T10:03:00Z</cp:lastPrinted>
  <dcterms:created xsi:type="dcterms:W3CDTF">2022-06-17T08:41:00Z</dcterms:created>
  <dcterms:modified xsi:type="dcterms:W3CDTF">2022-07-13T13:48:00Z</dcterms:modified>
</cp:coreProperties>
</file>