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NoSpacing"/>
        <w:jc w:val="both"/>
        <w:rPr>
          <w:rFonts w:asciiTheme="minorHAnsi" w:hAnsiTheme="minorHAnsi" w:cstheme="minorHAnsi"/>
          <w:b/>
          <w:bCs/>
        </w:rPr>
      </w:pPr>
      <w:r>
        <w:rPr>
          <w:b/>
          <w:bCs/>
          <w:lang w:val="en"/>
        </w:rPr>
        <w:t>To,</w:t>
      </w:r>
    </w:p>
    <w:p>
      <w:pPr>
        <w:shd w:val="clear" w:color="auto" w:fill="FFFFFF"/>
        <w:spacing w:after="160"/>
        <w:jc w:val="both"/>
        <w:rPr>
          <w:rFonts w:cstheme="minorHAnsi"/>
          <w:b/>
          <w:color w:val="333333"/>
          <w:lang w:val="es-ES"/>
        </w:rPr>
      </w:pPr>
      <w:r>
        <w:rPr>
          <w:b/>
          <w:color w:val="333333"/>
          <w:lang w:val="en"/>
        </w:rPr>
        <w:t>Bucharest Stock Exchange</w:t>
      </w:r>
    </w:p>
    <w:p>
      <w:pPr>
        <w:shd w:val="clear" w:color="auto" w:fill="FFFFFF"/>
        <w:spacing w:after="160"/>
        <w:jc w:val="both"/>
        <w:rPr>
          <w:rFonts w:cstheme="minorHAnsi"/>
          <w:b/>
          <w:color w:val="333333"/>
          <w:lang w:val="es-ES"/>
        </w:rPr>
      </w:pPr>
      <w:r>
        <w:rPr>
          <w:b/>
          <w:color w:val="333333"/>
          <w:lang w:val="en"/>
        </w:rPr>
        <w:t>Financial Supervisory Authority</w:t>
      </w:r>
    </w:p>
    <w:p>
      <w:pPr>
        <w:jc w:val="both"/>
        <w:rPr>
          <w:rFonts w:cstheme="minorHAnsi"/>
          <w:b/>
          <w:bCs/>
          <w:lang w:val="es-ES"/>
        </w:rPr>
      </w:pPr>
      <w:r>
        <w:rPr>
          <w:b/>
          <w:bCs/>
          <w:lang w:val="en"/>
        </w:rPr>
        <w:t>Ref: significant contract conclusion</w:t>
      </w:r>
    </w:p>
    <w:p>
      <w:pPr>
        <w:jc w:val="both"/>
        <w:rPr>
          <w:rFonts w:cstheme="minorHAnsi"/>
        </w:rPr>
      </w:pPr>
    </w:p>
    <w:p>
      <w:pPr>
        <w:shd w:val="clear" w:color="auto" w:fill="FFFFFF"/>
        <w:jc w:val="center"/>
        <w:rPr>
          <w:rFonts w:cstheme="minorHAnsi"/>
          <w:b/>
          <w:color w:val="333333"/>
        </w:rPr>
      </w:pPr>
      <w:r>
        <w:rPr>
          <w:b/>
          <w:color w:val="333333"/>
          <w:lang w:val="en"/>
        </w:rPr>
        <w:t>Current Report No. 3286</w:t>
      </w:r>
    </w:p>
    <w:p>
      <w:pPr>
        <w:shd w:val="clear" w:color="auto" w:fill="FFFFFF"/>
        <w:jc w:val="center"/>
        <w:rPr>
          <w:rFonts w:cstheme="minorHAnsi"/>
          <w:b/>
          <w:color w:val="333333"/>
        </w:rPr>
      </w:pPr>
      <w:r>
        <w:rPr>
          <w:lang w:val="en"/>
        </w:rPr>
        <w:t>drawn up in accordance with Law no. 24/2017 on issuers of financial instruments and market operations, ASF Regulation no. ANRE President's Order no. 5/2018  on issuers of financial instruments and market operations and/or the Bucharest Stock Exchange Code for the Multilateral Trading System</w:t>
      </w:r>
    </w:p>
    <w:p>
      <w:pPr>
        <w:shd w:val="clear" w:color="auto" w:fill="FFFFFF"/>
        <w:spacing w:after="160"/>
        <w:jc w:val="both"/>
        <w:rPr>
          <w:rFonts w:cstheme="minorHAnsi"/>
          <w:b/>
          <w:color w:val="333333"/>
        </w:rPr>
      </w:pPr>
    </w:p>
    <w:tbl>
      <w:tblPr>
        <w:tblW w:w="9158" w:type="dxa"/>
        <w:tblBorders>
          <w:top w:val="nil"/>
          <w:left w:val="nil"/>
          <w:bottom w:val="nil"/>
          <w:right w:val="nil"/>
          <w:insideH w:val="nil"/>
          <w:insideV w:val="nil"/>
        </w:tblBorders>
        <w:tblLayout w:type="fixed"/>
        <w:tblLook w:val="0400" w:firstRow="0" w:lastRow="0" w:firstColumn="0" w:lastColumn="0" w:noHBand="0" w:noVBand="1"/>
      </w:tblPr>
      <w:tblGrid>
        <w:gridCol w:w="4503"/>
        <w:gridCol w:w="4655"/>
      </w:tblGrid>
      <w:tr>
        <w:trPr>
          <w:trHeight w:val="369"/>
        </w:trPr>
        <w:tc>
          <w:tcPr>
            <w:tcW w:w="4503" w:type="dxa"/>
            <w:vAlign w:val="center"/>
          </w:tcPr>
          <w:p>
            <w:pPr>
              <w:spacing w:after="160"/>
              <w:jc w:val="both"/>
              <w:rPr>
                <w:rFonts w:cstheme="minorHAnsi"/>
                <w:color w:val="333333"/>
              </w:rPr>
            </w:pPr>
            <w:bookmarkStart w:id="0" w:name="_gjdgxs" w:colFirst="0" w:colLast="0"/>
            <w:bookmarkEnd w:id="0"/>
            <w:r>
              <w:rPr>
                <w:color w:val="333333"/>
                <w:lang w:val="en"/>
              </w:rPr>
              <w:t>Date of report:</w:t>
            </w:r>
          </w:p>
        </w:tc>
        <w:tc>
          <w:tcPr>
            <w:tcW w:w="4655" w:type="dxa"/>
            <w:vAlign w:val="center"/>
          </w:tcPr>
          <w:p>
            <w:pPr>
              <w:shd w:val="clear" w:color="auto" w:fill="FFFFFF"/>
              <w:jc w:val="both"/>
              <w:rPr>
                <w:rFonts w:cstheme="minorHAnsi"/>
                <w:color w:val="333333"/>
              </w:rPr>
            </w:pPr>
            <w:r>
              <w:rPr>
                <w:color w:val="333333"/>
                <w:lang w:val="en"/>
              </w:rPr>
              <w:t>13.07.2022</w:t>
            </w:r>
          </w:p>
        </w:tc>
      </w:tr>
      <w:tr>
        <w:trPr>
          <w:trHeight w:val="369"/>
        </w:trPr>
        <w:tc>
          <w:tcPr>
            <w:tcW w:w="4503" w:type="dxa"/>
            <w:vAlign w:val="center"/>
          </w:tcPr>
          <w:p>
            <w:pPr>
              <w:spacing w:after="160"/>
              <w:jc w:val="both"/>
              <w:rPr>
                <w:rFonts w:cstheme="minorHAnsi"/>
                <w:color w:val="333333"/>
              </w:rPr>
            </w:pPr>
            <w:r>
              <w:rPr>
                <w:color w:val="333333"/>
                <w:lang w:val="en"/>
              </w:rPr>
              <w:t>Name of the issuing entity:</w:t>
            </w:r>
          </w:p>
        </w:tc>
        <w:tc>
          <w:tcPr>
            <w:tcW w:w="4655" w:type="dxa"/>
            <w:vAlign w:val="center"/>
          </w:tcPr>
          <w:p>
            <w:pPr>
              <w:spacing w:after="160"/>
              <w:jc w:val="both"/>
              <w:rPr>
                <w:rFonts w:cstheme="minorHAnsi"/>
                <w:color w:val="333333"/>
              </w:rPr>
            </w:pPr>
            <w:r>
              <w:rPr>
                <w:b/>
                <w:color w:val="333333"/>
                <w:lang w:val="en"/>
              </w:rPr>
              <w:t>CONNECTIONS CONSULT S.A</w:t>
            </w:r>
            <w:r>
              <w:rPr>
                <w:color w:val="333333"/>
                <w:lang w:val="en"/>
              </w:rPr>
              <w:t>.</w:t>
            </w:r>
          </w:p>
        </w:tc>
      </w:tr>
      <w:tr>
        <w:trPr>
          <w:trHeight w:val="322"/>
        </w:trPr>
        <w:tc>
          <w:tcPr>
            <w:tcW w:w="4503" w:type="dxa"/>
            <w:vAlign w:val="center"/>
          </w:tcPr>
          <w:p>
            <w:pPr>
              <w:spacing w:after="160"/>
              <w:jc w:val="both"/>
              <w:rPr>
                <w:rFonts w:cstheme="minorHAnsi"/>
                <w:color w:val="333333"/>
              </w:rPr>
            </w:pPr>
            <w:r>
              <w:rPr>
                <w:color w:val="333333"/>
                <w:lang w:val="en"/>
              </w:rPr>
              <w:t>Registered office:</w:t>
            </w:r>
          </w:p>
        </w:tc>
        <w:tc>
          <w:tcPr>
            <w:tcW w:w="4655" w:type="dxa"/>
            <w:vAlign w:val="center"/>
          </w:tcPr>
          <w:p>
            <w:pPr>
              <w:shd w:val="clear" w:color="auto" w:fill="FFFFFF"/>
              <w:jc w:val="both"/>
              <w:rPr>
                <w:rFonts w:cstheme="minorHAnsi"/>
                <w:color w:val="333333"/>
              </w:rPr>
            </w:pPr>
            <w:r>
              <w:rPr>
                <w:color w:val="333333"/>
                <w:lang w:val="en"/>
              </w:rPr>
              <w:t>Strada Buzesti Nr. 75-77, Etaj 14, sector 1, Mun. Bucuresti</w:t>
            </w:r>
          </w:p>
        </w:tc>
      </w:tr>
      <w:tr>
        <w:trPr>
          <w:trHeight w:val="369"/>
        </w:trPr>
        <w:tc>
          <w:tcPr>
            <w:tcW w:w="4503" w:type="dxa"/>
            <w:vAlign w:val="center"/>
          </w:tcPr>
          <w:p>
            <w:pPr>
              <w:spacing w:after="160"/>
              <w:jc w:val="both"/>
              <w:rPr>
                <w:rFonts w:cstheme="minorHAnsi"/>
                <w:color w:val="333333"/>
              </w:rPr>
            </w:pPr>
            <w:r>
              <w:rPr>
                <w:color w:val="333333"/>
                <w:lang w:val="en"/>
              </w:rPr>
              <w:t>Phone/ fax number:</w:t>
            </w:r>
          </w:p>
        </w:tc>
        <w:tc>
          <w:tcPr>
            <w:tcW w:w="4655" w:type="dxa"/>
            <w:vAlign w:val="center"/>
          </w:tcPr>
          <w:p>
            <w:pPr>
              <w:spacing w:after="160"/>
              <w:jc w:val="both"/>
              <w:rPr>
                <w:rFonts w:cstheme="minorHAnsi"/>
                <w:color w:val="333333"/>
              </w:rPr>
            </w:pPr>
            <w:r>
              <w:rPr>
                <w:color w:val="333333"/>
                <w:lang w:val="en"/>
              </w:rPr>
              <w:t>0372 368 332/ 0372 006 765</w:t>
            </w:r>
          </w:p>
        </w:tc>
      </w:tr>
      <w:tr>
        <w:trPr>
          <w:trHeight w:val="379"/>
        </w:trPr>
        <w:tc>
          <w:tcPr>
            <w:tcW w:w="4503" w:type="dxa"/>
            <w:vAlign w:val="center"/>
          </w:tcPr>
          <w:p>
            <w:pPr>
              <w:spacing w:after="160"/>
              <w:jc w:val="both"/>
              <w:rPr>
                <w:rFonts w:cstheme="minorHAnsi"/>
                <w:color w:val="333333"/>
              </w:rPr>
            </w:pPr>
            <w:r>
              <w:rPr>
                <w:color w:val="333333"/>
                <w:lang w:val="en"/>
              </w:rPr>
              <w:t>Unique registration code:</w:t>
            </w:r>
          </w:p>
        </w:tc>
        <w:tc>
          <w:tcPr>
            <w:tcW w:w="4655" w:type="dxa"/>
            <w:vAlign w:val="center"/>
          </w:tcPr>
          <w:p>
            <w:pPr>
              <w:shd w:val="clear" w:color="auto" w:fill="FFFFFF"/>
              <w:jc w:val="both"/>
              <w:rPr>
                <w:rFonts w:cstheme="minorHAnsi"/>
                <w:color w:val="333333"/>
              </w:rPr>
            </w:pPr>
            <w:r>
              <w:rPr>
                <w:color w:val="333333"/>
                <w:lang w:val="en"/>
              </w:rPr>
              <w:t>EN 17753763</w:t>
            </w:r>
          </w:p>
        </w:tc>
      </w:tr>
      <w:tr>
        <w:trPr>
          <w:trHeight w:val="468"/>
        </w:trPr>
        <w:tc>
          <w:tcPr>
            <w:tcW w:w="4503" w:type="dxa"/>
            <w:vAlign w:val="center"/>
          </w:tcPr>
          <w:p>
            <w:pPr>
              <w:spacing w:after="160"/>
              <w:jc w:val="both"/>
              <w:rPr>
                <w:rFonts w:cstheme="minorHAnsi"/>
                <w:color w:val="333333"/>
              </w:rPr>
            </w:pPr>
            <w:r>
              <w:rPr>
                <w:color w:val="333333"/>
                <w:lang w:val="en"/>
              </w:rPr>
              <w:t>Order number in the Trade Register:</w:t>
            </w:r>
          </w:p>
        </w:tc>
        <w:tc>
          <w:tcPr>
            <w:tcW w:w="4655" w:type="dxa"/>
            <w:vAlign w:val="center"/>
          </w:tcPr>
          <w:p>
            <w:pPr>
              <w:spacing w:after="160"/>
              <w:jc w:val="both"/>
              <w:rPr>
                <w:rFonts w:cstheme="minorHAnsi"/>
                <w:color w:val="333333"/>
              </w:rPr>
            </w:pPr>
            <w:r>
              <w:rPr>
                <w:color w:val="333333"/>
                <w:lang w:val="en"/>
              </w:rPr>
              <w:t>J40/11864/2005</w:t>
            </w:r>
          </w:p>
        </w:tc>
      </w:tr>
      <w:tr>
        <w:trPr>
          <w:trHeight w:val="369"/>
        </w:trPr>
        <w:tc>
          <w:tcPr>
            <w:tcW w:w="4503" w:type="dxa"/>
            <w:vAlign w:val="center"/>
          </w:tcPr>
          <w:p>
            <w:pPr>
              <w:spacing w:after="160"/>
              <w:jc w:val="both"/>
              <w:rPr>
                <w:rFonts w:cstheme="minorHAnsi"/>
                <w:color w:val="333333"/>
                <w:lang w:val="es-ES"/>
              </w:rPr>
            </w:pPr>
            <w:r>
              <w:rPr>
                <w:color w:val="333333"/>
                <w:lang w:val="en"/>
              </w:rPr>
              <w:t>Subscribed and paid-up share capital:</w:t>
            </w:r>
          </w:p>
        </w:tc>
        <w:tc>
          <w:tcPr>
            <w:tcW w:w="4655" w:type="dxa"/>
            <w:vAlign w:val="center"/>
          </w:tcPr>
          <w:p>
            <w:pPr>
              <w:spacing w:after="160"/>
              <w:jc w:val="both"/>
              <w:rPr>
                <w:rFonts w:cstheme="minorHAnsi"/>
                <w:color w:val="333333"/>
              </w:rPr>
            </w:pPr>
            <w:r>
              <w:rPr>
                <w:color w:val="333333"/>
                <w:lang w:val="en"/>
              </w:rPr>
              <w:t>1,189,272.70 lei</w:t>
            </w:r>
          </w:p>
        </w:tc>
      </w:tr>
      <w:tr>
        <w:trPr>
          <w:trHeight w:val="604"/>
        </w:trPr>
        <w:tc>
          <w:tcPr>
            <w:tcW w:w="4503" w:type="dxa"/>
            <w:vAlign w:val="center"/>
          </w:tcPr>
          <w:p>
            <w:pPr>
              <w:spacing w:after="160"/>
              <w:jc w:val="both"/>
              <w:rPr>
                <w:rFonts w:cstheme="minorHAnsi"/>
                <w:color w:val="333333"/>
                <w:lang w:val="es-ES"/>
              </w:rPr>
            </w:pPr>
            <w:r>
              <w:rPr>
                <w:color w:val="333333"/>
                <w:lang w:val="en"/>
              </w:rPr>
              <w:t>The market on which the issued securities are traded:</w:t>
            </w:r>
          </w:p>
        </w:tc>
        <w:tc>
          <w:tcPr>
            <w:tcW w:w="4655" w:type="dxa"/>
            <w:vAlign w:val="center"/>
          </w:tcPr>
          <w:p>
            <w:pPr>
              <w:spacing w:after="160"/>
              <w:jc w:val="both"/>
              <w:rPr>
                <w:rFonts w:cstheme="minorHAnsi"/>
                <w:color w:val="333333"/>
                <w:lang w:val="es-ES"/>
              </w:rPr>
            </w:pPr>
            <w:r>
              <w:rPr>
                <w:color w:val="333333"/>
                <w:lang w:val="en"/>
              </w:rPr>
              <w:t xml:space="preserve">SMT - category AeRO, market symbol </w:t>
            </w:r>
            <w:r>
              <w:rPr>
                <w:b/>
                <w:color w:val="333333"/>
                <w:lang w:val="en"/>
              </w:rPr>
              <w:t>CC</w:t>
            </w:r>
          </w:p>
        </w:tc>
      </w:tr>
    </w:tbl>
    <w:p>
      <w:pPr>
        <w:jc w:val="both"/>
        <w:rPr>
          <w:rFonts w:cstheme="minorHAnsi"/>
          <w:lang w:val="es-ES"/>
        </w:rPr>
      </w:pPr>
    </w:p>
    <w:p>
      <w:pPr>
        <w:shd w:val="clear" w:color="auto" w:fill="FFFFFF"/>
        <w:spacing w:line="360" w:lineRule="auto"/>
        <w:jc w:val="both"/>
      </w:pPr>
      <w:r>
        <w:rPr>
          <w:b/>
          <w:bCs/>
          <w:lang w:val="en"/>
        </w:rPr>
        <w:t>Important event to report</w:t>
      </w:r>
      <w:r>
        <w:rPr>
          <w:lang w:val="en"/>
        </w:rPr>
        <w:t xml:space="preserve">: Conclusion of a significant contract </w:t>
      </w:r>
    </w:p>
    <w:p>
      <w:pPr>
        <w:shd w:val="clear" w:color="auto" w:fill="FFFFFF"/>
        <w:spacing w:line="360" w:lineRule="auto"/>
        <w:jc w:val="both"/>
      </w:pPr>
    </w:p>
    <w:p>
      <w:pPr>
        <w:shd w:val="clear" w:color="auto" w:fill="FFFFFF"/>
        <w:spacing w:line="360" w:lineRule="auto"/>
        <w:jc w:val="both"/>
      </w:pPr>
      <w:r>
        <w:rPr>
          <w:lang w:val="en"/>
        </w:rPr>
        <w:t xml:space="preserve">In accordance with the provisions of article 234 paragraph (1) letter i) of the ASF Regulation no. 5/2018 on issuers of financial instruments and market operations and of Law no. ANRE President's Order no. 24/2017 on issuers of financial instruments and market operations, </w:t>
      </w:r>
    </w:p>
    <w:p>
      <w:pPr>
        <w:shd w:val="clear" w:color="auto" w:fill="FFFFFF"/>
        <w:spacing w:line="360" w:lineRule="auto"/>
        <w:jc w:val="both"/>
      </w:pPr>
    </w:p>
    <w:p>
      <w:pPr>
        <w:shd w:val="clear" w:color="auto" w:fill="FFFFFF"/>
        <w:spacing w:line="360" w:lineRule="auto"/>
        <w:jc w:val="both"/>
        <w:rPr>
          <w:lang w:val="en-US"/>
        </w:rPr>
      </w:pPr>
      <w:r>
        <w:rPr>
          <w:lang w:val="en"/>
        </w:rPr>
        <w:t>Connections Consult SA announces the signing, in partnership with SC Innodata Solutions SRL, of the contract with the Autonomous Administration "Monitorul Oficial" for the delivery of an integrated solution such as Active Data Center - Passive plus Back-Up and Disaster Recovery. The total amount of activities and equipment delivered by Connections Consult SA is 1,032,402 EUR plus VAT, and the expected margin is 9%. The solution will be delivered by the end of this calendar year.</w:t>
      </w:r>
    </w:p>
    <w:p>
      <w:pPr>
        <w:shd w:val="clear" w:color="auto" w:fill="FFFFFF"/>
        <w:spacing w:line="360" w:lineRule="auto"/>
        <w:jc w:val="both"/>
      </w:pPr>
    </w:p>
    <w:p>
      <w:pPr>
        <w:shd w:val="clear" w:color="auto" w:fill="FFFFFF"/>
        <w:spacing w:line="360" w:lineRule="auto"/>
        <w:jc w:val="both"/>
        <w:rPr>
          <w:rFonts w:eastAsia="Times New Roman" w:cstheme="minorHAnsi"/>
          <w:color w:val="000000"/>
          <w:lang w:val="es-ES"/>
        </w:rPr>
      </w:pPr>
    </w:p>
    <w:p>
      <w:pPr>
        <w:shd w:val="clear" w:color="auto" w:fill="FFFFFF"/>
        <w:spacing w:line="360" w:lineRule="auto"/>
        <w:jc w:val="both"/>
        <w:rPr>
          <w:rFonts w:eastAsia="Times New Roman" w:cstheme="minorHAnsi"/>
          <w:b/>
          <w:bCs/>
          <w:color w:val="000000"/>
          <w:lang w:val="es-ES"/>
        </w:rPr>
      </w:pPr>
      <w:r>
        <w:rPr>
          <w:color w:val="000000"/>
          <w:lang w:val="en"/>
        </w:rPr>
        <w:tab/>
      </w:r>
      <w:r>
        <w:rPr>
          <w:color w:val="000000"/>
          <w:lang w:val="en"/>
        </w:rPr>
        <w:tab/>
      </w:r>
      <w:r>
        <w:rPr>
          <w:color w:val="000000"/>
          <w:lang w:val="en"/>
        </w:rPr>
        <w:tab/>
      </w:r>
      <w:r>
        <w:rPr>
          <w:color w:val="000000"/>
          <w:lang w:val="en"/>
        </w:rPr>
        <w:tab/>
      </w:r>
      <w:r>
        <w:rPr>
          <w:b/>
          <w:bCs/>
          <w:color w:val="000000"/>
          <w:lang w:val="en"/>
        </w:rPr>
        <w:t xml:space="preserve">                          Chairman of the Board of Directors</w:t>
      </w:r>
      <w:r>
        <w:rPr>
          <w:b/>
          <w:bCs/>
          <w:color w:val="000000"/>
          <w:lang w:val="en"/>
        </w:rPr>
        <w:tab/>
      </w:r>
      <w:r>
        <w:rPr>
          <w:b/>
          <w:bCs/>
          <w:color w:val="000000"/>
          <w:lang w:val="en"/>
        </w:rPr>
        <w:tab/>
      </w:r>
      <w:r>
        <w:rPr>
          <w:b/>
          <w:bCs/>
          <w:color w:val="000000"/>
          <w:lang w:val="en"/>
        </w:rPr>
        <w:tab/>
      </w:r>
      <w:r>
        <w:rPr>
          <w:b/>
          <w:bCs/>
          <w:color w:val="000000"/>
          <w:lang w:val="en"/>
        </w:rPr>
        <w:tab/>
      </w:r>
      <w:r>
        <w:rPr>
          <w:b/>
          <w:bCs/>
          <w:color w:val="000000"/>
          <w:lang w:val="en"/>
        </w:rPr>
        <w:tab/>
      </w:r>
      <w:r>
        <w:rPr>
          <w:b/>
          <w:bCs/>
          <w:color w:val="000000"/>
          <w:lang w:val="en"/>
        </w:rPr>
        <w:tab/>
      </w:r>
      <w:r>
        <w:rPr>
          <w:b/>
          <w:bCs/>
          <w:color w:val="000000"/>
          <w:lang w:val="en"/>
        </w:rPr>
        <w:tab/>
      </w:r>
      <w:r>
        <w:rPr>
          <w:b/>
          <w:bCs/>
          <w:color w:val="000000"/>
          <w:lang w:val="en"/>
        </w:rPr>
        <w:tab/>
      </w:r>
      <w:r>
        <w:rPr>
          <w:b/>
          <w:bCs/>
          <w:color w:val="000000"/>
          <w:lang w:val="en"/>
        </w:rPr>
        <w:tab/>
        <w:t xml:space="preserve">Bogdan Liviu Florea                                                                               </w:t>
      </w:r>
    </w:p>
    <w:p>
      <w:pPr>
        <w:shd w:val="clear" w:color="auto" w:fill="FFFFFF"/>
        <w:spacing w:line="360" w:lineRule="auto"/>
        <w:jc w:val="both"/>
        <w:rPr>
          <w:rFonts w:eastAsia="Times New Roman" w:cstheme="minorHAnsi"/>
          <w:color w:val="000000"/>
          <w:lang w:val="ro-RO"/>
        </w:rPr>
      </w:pPr>
      <w:r>
        <w:rPr>
          <w:rFonts w:eastAsia="Times New Roman" w:cstheme="minorHAnsi"/>
          <w:color w:val="000000"/>
          <w:lang w:val="ro-RO"/>
        </w:rPr>
        <w:t xml:space="preserve">                                                                                                  </w:t>
      </w:r>
    </w:p>
    <w:sectPr>
      <w:headerReference w:type="default" r:id="rId8"/>
      <w:footerReference w:type="default" r:id="rId9"/>
      <w:pgSz w:w="11906" w:h="16838" w:code="9"/>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rPr>
          <w:lang w:val="en"/>
        </w:rPr>
        <w:separator/>
      </w:r>
    </w:p>
  </w:endnote>
  <w:endnote w:type="continuationSeparator" w:id="0">
    <w:p>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top w:val="single" w:sz="4" w:space="4" w:color="D9D9D9" w:themeColor="background1" w:themeShade="D9"/>
      </w:pBdr>
      <w:rPr>
        <w:color w:val="7F7F7F" w:themeColor="background1" w:themeShade="7F"/>
        <w:spacing w:val="60"/>
      </w:rPr>
    </w:pPr>
    <w:r>
      <w:rPr>
        <w:noProof/>
        <w:color w:val="7F7F7F" w:themeColor="background1" w:themeShade="7F"/>
        <w:spacing w:val="60"/>
        <w:lang w:val="en"/>
      </w:rPr>
      <w:drawing>
        <wp:inline distT="0" distB="0" distL="0" distR="0">
          <wp:extent cx="6412809" cy="8513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7463" cy="8678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rPr>
          <w:lang w:val="en"/>
        </w:rPr>
        <w:separator/>
      </w:r>
    </w:p>
  </w:footnote>
  <w:footnote w:type="continuationSeparator" w:id="0">
    <w:p>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sdt>
      <w:sdtPr>
        <w:id w:val="1327325251"/>
        <w:docPartObj>
          <w:docPartGallery w:val="Page Numbers (Margins)"/>
          <w:docPartUnique/>
        </w:docPartObj>
      </w:sdtPr>
      <w:sdtContent>
        <w:r>
          <w:rPr>
            <w:noProof/>
            <w:lang w:val="en"/>
          </w:rPr>
          <mc:AlternateContent>
            <mc:Choice Requires="wps">
              <w:drawing>
                <wp:anchor distT="0" distB="0" distL="114300" distR="114300" simplePos="0" relativeHeight="251657216"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Footer"/>
                                <w:rPr>
                                  <w:rFonts w:asciiTheme="majorHAnsi" w:eastAsiaTheme="majorEastAsia" w:hAnsiTheme="majorHAnsi" w:cstheme="majorBidi"/>
                                  <w:sz w:val="44"/>
                                  <w:szCs w:val="44"/>
                                </w:rPr>
                              </w:pPr>
                              <w:r>
                                <w:rPr>
                                  <w:lang w:val="en"/>
                                </w:rPr>
                                <w:t>Page</w:t>
                              </w:r>
                              <w:r>
                                <w:rPr>
                                  <w:lang w:val="en"/>
                                </w:rPr>
                                <w:fldChar w:fldCharType="begin"/>
                              </w:r>
                              <w:r>
                                <w:rPr>
                                  <w:lang w:val="en"/>
                                </w:rPr>
                                <w:instrText xml:space="preserve"> PAGE    \* MERGEFORMAT </w:instrText>
                              </w:r>
                              <w:r>
                                <w:rPr>
                                  <w:lang w:val="en"/>
                                </w:rPr>
                                <w:fldChar w:fldCharType="separate"/>
                              </w:r>
                              <w:r>
                                <w:rPr>
                                  <w:noProof/>
                                  <w:sz w:val="44"/>
                                  <w:szCs w:val="44"/>
                                  <w:lang w:val="en"/>
                                </w:rPr>
                                <w:t>2</w:t>
                              </w:r>
                              <w:r>
                                <w:rPr>
                                  <w:noProof/>
                                  <w:sz w:val="44"/>
                                  <w:szCs w:val="44"/>
                                  <w:lang w:val="e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spid="_x0000_s1026" o:allowincell="f"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v:textbox style="layout-flow:vertical;mso-layout-flow-alt:bottom-to-top;mso-fit-shape-to-text:t">
                    <w:txbxContent>
                      <w:p>
                        <w:pPr>
                          <w:pStyle w:val="Footer"/>
                          <w:rPr>
                            <w:rFonts w:asciiTheme="majorHAnsi" w:hAnsiTheme="majorHAnsi" w:eastAsiaTheme="majorEastAsia" w:cstheme="majorBidi"/>
                            <w:sz w:val="44"/>
                            <w:szCs w:val="44"/>
                          </w:rPr>
                        </w:pPr>
                        <w:r>
                          <w:rPr>
                            <w:lang w:val="en"/>
                          </w:rPr>
                          <w:t>Page</w:t>
                        </w:r>
                        <w:r>
                          <w:rPr>
                            <w:lang w:val="en"/>
                          </w:rPr>
                          <w:fldChar w:fldCharType="begin"/>
                        </w:r>
                        <w:r>
                          <w:rPr>
                            <w:lang w:val="en"/>
                          </w:rPr>
                          <w:instrText xml:space="preserve"> PAGE    \* MERGEFORMAT </w:instrText>
                        </w:r>
                        <w:r>
                          <w:rPr>
                            <w:lang w:val="en"/>
                          </w:rPr>
                          <w:fldChar w:fldCharType="separate"/>
                        </w:r>
                        <w:r>
                          <w:rPr>
                            <w:noProof/>
                            <w:sz w:val="44"/>
                            <w:szCs w:val="44"/>
                            <w:lang w:val="en"/>
                          </w:rPr>
                          <w:t>2</w:t>
                        </w:r>
                        <w:r>
                          <w:rPr>
                            <w:noProof/>
                            <w:sz w:val="44"/>
                            <w:szCs w:val="44"/>
                            <w:lang w:val="en"/>
                          </w:rPr>
                          <w:fldChar w:fldCharType="end"/>
                        </w:r>
                      </w:p>
                    </w:txbxContent>
                  </v:textbox>
                  <w10:wrap anchorx="margin" anchory="margin"/>
                </v:rect>
              </w:pict>
            </mc:Fallback>
          </mc:AlternateContent>
        </w:r>
      </w:sdtContent>
    </w:sdt>
    <w:r>
      <w:rPr>
        <w:noProof/>
        <w:color w:val="000000"/>
        <w:lang w:val="en"/>
      </w:rPr>
      <w:drawing>
        <wp:inline distT="0" distB="0" distL="0" distR="0">
          <wp:extent cx="6210300" cy="793538"/>
          <wp:effectExtent l="0" t="0" r="0" b="6985"/>
          <wp:docPr id="3"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image1.png" descr="Shape&#10;&#10;Description automatically generated with medium confidence"/>
                  <pic:cNvPicPr preferRelativeResize="0"/>
                </pic:nvPicPr>
                <pic:blipFill>
                  <a:blip r:embed="rId1"/>
                  <a:srcRect/>
                  <a:stretch>
                    <a:fillRect/>
                  </a:stretch>
                </pic:blipFill>
                <pic:spPr>
                  <a:xfrm>
                    <a:off x="0" y="0"/>
                    <a:ext cx="6210300" cy="7935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590"/>
    <w:multiLevelType w:val="hybridMultilevel"/>
    <w:tmpl w:val="2E4A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733"/>
    <w:multiLevelType w:val="hybridMultilevel"/>
    <w:tmpl w:val="E44E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46C99"/>
    <w:multiLevelType w:val="hybridMultilevel"/>
    <w:tmpl w:val="0E96E91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205BE6"/>
    <w:multiLevelType w:val="hybridMultilevel"/>
    <w:tmpl w:val="76BCAF3A"/>
    <w:lvl w:ilvl="0" w:tplc="D396D4C6">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443230"/>
    <w:multiLevelType w:val="hybridMultilevel"/>
    <w:tmpl w:val="3F32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61648"/>
    <w:multiLevelType w:val="hybridMultilevel"/>
    <w:tmpl w:val="08EE0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51010"/>
    <w:multiLevelType w:val="hybridMultilevel"/>
    <w:tmpl w:val="6BC4AB30"/>
    <w:lvl w:ilvl="0" w:tplc="89FCF5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8551A1"/>
    <w:multiLevelType w:val="hybridMultilevel"/>
    <w:tmpl w:val="9C9E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C3E80"/>
    <w:multiLevelType w:val="hybridMultilevel"/>
    <w:tmpl w:val="AC34FAC0"/>
    <w:lvl w:ilvl="0" w:tplc="96385B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0788251">
    <w:abstractNumId w:val="2"/>
  </w:num>
  <w:num w:numId="2" w16cid:durableId="890382099">
    <w:abstractNumId w:val="8"/>
  </w:num>
  <w:num w:numId="3" w16cid:durableId="1861778370">
    <w:abstractNumId w:val="1"/>
  </w:num>
  <w:num w:numId="4" w16cid:durableId="2072382688">
    <w:abstractNumId w:val="4"/>
  </w:num>
  <w:num w:numId="5" w16cid:durableId="726337282">
    <w:abstractNumId w:val="0"/>
  </w:num>
  <w:num w:numId="6" w16cid:durableId="1375739961">
    <w:abstractNumId w:val="7"/>
  </w:num>
  <w:num w:numId="7" w16cid:durableId="1781408306">
    <w:abstractNumId w:val="3"/>
  </w:num>
  <w:num w:numId="8" w16cid:durableId="1730879734">
    <w:abstractNumId w:val="6"/>
  </w:num>
  <w:num w:numId="9" w16cid:durableId="19915914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A8179B6-E3BD-400B-A9D7-C3C67B6B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lang w:val="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rPr>
      <w:lang w:val="en-US"/>
    </w:rPr>
  </w:style>
  <w:style w:type="character" w:customStyle="1" w:styleId="FooterChar">
    <w:name w:val="Footer Char"/>
    <w:basedOn w:val="DefaultParagraphFont"/>
    <w:link w:val="Footer"/>
    <w:uiPriority w:val="99"/>
  </w:style>
  <w:style w:type="character" w:customStyle="1" w:styleId="markedcontent">
    <w:name w:val="markedcontent"/>
    <w:basedOn w:val="DefaultParagraphFont"/>
  </w:style>
  <w:style w:type="paragraph" w:customStyle="1" w:styleId="default">
    <w:name w:val="default"/>
    <w:basedOn w:val="Normal"/>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ascii="Calibri" w:eastAsia="Calibri" w:hAnsi="Calibri" w:cs="Calibri"/>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customStyle="1" w:styleId="Default0">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pPr>
      <w:spacing w:after="0" w:line="240" w:lineRule="auto"/>
    </w:pPr>
    <w:rPr>
      <w:lang w:val="en-GB"/>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75575">
      <w:bodyDiv w:val="1"/>
      <w:marLeft w:val="0"/>
      <w:marRight w:val="0"/>
      <w:marTop w:val="0"/>
      <w:marBottom w:val="0"/>
      <w:divBdr>
        <w:top w:val="none" w:sz="0" w:space="0" w:color="auto"/>
        <w:left w:val="none" w:sz="0" w:space="0" w:color="auto"/>
        <w:bottom w:val="none" w:sz="0" w:space="0" w:color="auto"/>
        <w:right w:val="none" w:sz="0" w:space="0" w:color="auto"/>
      </w:divBdr>
    </w:div>
    <w:div w:id="744036619">
      <w:bodyDiv w:val="1"/>
      <w:marLeft w:val="0"/>
      <w:marRight w:val="0"/>
      <w:marTop w:val="0"/>
      <w:marBottom w:val="0"/>
      <w:divBdr>
        <w:top w:val="none" w:sz="0" w:space="0" w:color="auto"/>
        <w:left w:val="none" w:sz="0" w:space="0" w:color="auto"/>
        <w:bottom w:val="none" w:sz="0" w:space="0" w:color="auto"/>
        <w:right w:val="none" w:sz="0" w:space="0" w:color="auto"/>
      </w:divBdr>
    </w:div>
    <w:div w:id="1144005335">
      <w:bodyDiv w:val="1"/>
      <w:marLeft w:val="0"/>
      <w:marRight w:val="0"/>
      <w:marTop w:val="0"/>
      <w:marBottom w:val="0"/>
      <w:divBdr>
        <w:top w:val="none" w:sz="0" w:space="0" w:color="auto"/>
        <w:left w:val="none" w:sz="0" w:space="0" w:color="auto"/>
        <w:bottom w:val="none" w:sz="0" w:space="0" w:color="auto"/>
        <w:right w:val="none" w:sz="0" w:space="0" w:color="auto"/>
      </w:divBdr>
    </w:div>
    <w:div w:id="1176848846">
      <w:bodyDiv w:val="1"/>
      <w:marLeft w:val="0"/>
      <w:marRight w:val="0"/>
      <w:marTop w:val="0"/>
      <w:marBottom w:val="0"/>
      <w:divBdr>
        <w:top w:val="none" w:sz="0" w:space="0" w:color="auto"/>
        <w:left w:val="none" w:sz="0" w:space="0" w:color="auto"/>
        <w:bottom w:val="none" w:sz="0" w:space="0" w:color="auto"/>
        <w:right w:val="none" w:sz="0" w:space="0" w:color="auto"/>
      </w:divBdr>
    </w:div>
    <w:div w:id="1252856015">
      <w:bodyDiv w:val="1"/>
      <w:marLeft w:val="0"/>
      <w:marRight w:val="0"/>
      <w:marTop w:val="0"/>
      <w:marBottom w:val="0"/>
      <w:divBdr>
        <w:top w:val="none" w:sz="0" w:space="0" w:color="auto"/>
        <w:left w:val="none" w:sz="0" w:space="0" w:color="auto"/>
        <w:bottom w:val="none" w:sz="0" w:space="0" w:color="auto"/>
        <w:right w:val="none" w:sz="0" w:space="0" w:color="auto"/>
      </w:divBdr>
    </w:div>
    <w:div w:id="1449856612">
      <w:bodyDiv w:val="1"/>
      <w:marLeft w:val="0"/>
      <w:marRight w:val="0"/>
      <w:marTop w:val="0"/>
      <w:marBottom w:val="0"/>
      <w:divBdr>
        <w:top w:val="none" w:sz="0" w:space="0" w:color="auto"/>
        <w:left w:val="none" w:sz="0" w:space="0" w:color="auto"/>
        <w:bottom w:val="none" w:sz="0" w:space="0" w:color="auto"/>
        <w:right w:val="none" w:sz="0" w:space="0" w:color="auto"/>
      </w:divBdr>
    </w:div>
    <w:div w:id="1811940155">
      <w:bodyDiv w:val="1"/>
      <w:marLeft w:val="0"/>
      <w:marRight w:val="0"/>
      <w:marTop w:val="0"/>
      <w:marBottom w:val="0"/>
      <w:divBdr>
        <w:top w:val="none" w:sz="0" w:space="0" w:color="auto"/>
        <w:left w:val="none" w:sz="0" w:space="0" w:color="auto"/>
        <w:bottom w:val="none" w:sz="0" w:space="0" w:color="auto"/>
        <w:right w:val="none" w:sz="0" w:space="0" w:color="auto"/>
      </w:divBdr>
    </w:div>
    <w:div w:id="182847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1FE17-24FD-4752-A40A-6C123DC5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Stoicescu</dc:creator>
  <cp:keywords/>
  <dc:description/>
  <cp:lastModifiedBy>Magda Cristescu</cp:lastModifiedBy>
  <cp:revision>1</cp:revision>
  <cp:lastPrinted>2022-05-19T10:03:00Z</cp:lastPrinted>
  <dcterms:created xsi:type="dcterms:W3CDTF">2022-06-17T08:41:00Z</dcterms:created>
  <dcterms:modified xsi:type="dcterms:W3CDTF">2022-07-13T13:46:00Z</dcterms:modified>
  <cp:category/>
</cp:coreProperties>
</file>